
<file path=[Content_Types].xml><?xml version="1.0" encoding="utf-8"?>
<Types xmlns="http://schemas.openxmlformats.org/package/2006/content-types">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46100DF">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jc w:val="center"/>
        <w:textAlignment w:val="auto"/>
        <w:rPr>
          <w:rFonts w:hint="eastAsia" w:ascii="方正小标宋简体" w:hAnsi="方正小标宋简体" w:eastAsia="方正小标宋简体" w:cs="方正小标宋简体"/>
          <w:sz w:val="52"/>
          <w:szCs w:val="52"/>
          <w:shd w:val="clear" w:color="auto" w:fill="FFFFFF"/>
        </w:rPr>
      </w:pPr>
    </w:p>
    <w:p w14:paraId="040AAED2">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jc w:val="center"/>
        <w:textAlignment w:val="auto"/>
        <w:rPr>
          <w:rFonts w:ascii="方正小标宋简体" w:hAnsi="方正小标宋简体" w:eastAsia="方正小标宋简体" w:cs="方正小标宋简体"/>
          <w:sz w:val="52"/>
          <w:szCs w:val="52"/>
          <w:shd w:val="clear" w:color="auto" w:fill="FFFFFF"/>
        </w:rPr>
      </w:pPr>
      <w:r>
        <w:rPr>
          <w:rFonts w:hint="eastAsia" w:ascii="方正小标宋简体" w:hAnsi="方正小标宋简体" w:eastAsia="方正小标宋简体" w:cs="方正小标宋简体"/>
          <w:sz w:val="52"/>
          <w:szCs w:val="52"/>
          <w:shd w:val="clear" w:color="auto" w:fill="FFFFFF"/>
        </w:rPr>
        <w:t>济南市卫生健康委员会</w:t>
      </w:r>
    </w:p>
    <w:p w14:paraId="1476942B">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480"/>
        <w:textAlignment w:val="auto"/>
        <w:rPr>
          <w:rFonts w:hint="eastAsia" w:ascii="方正小标宋简体" w:hAnsi="方正小标宋简体" w:eastAsia="方正小标宋简体" w:cs="方正小标宋简体"/>
          <w:sz w:val="52"/>
          <w:szCs w:val="52"/>
          <w:shd w:val="clear" w:color="auto" w:fill="FFFFFF"/>
        </w:rPr>
      </w:pPr>
      <w:r>
        <w:rPr>
          <w:rFonts w:hint="eastAsia" w:ascii="方正小标宋简体" w:hAnsi="方正小标宋简体" w:eastAsia="方正小标宋简体" w:cs="方正小标宋简体"/>
          <w:sz w:val="52"/>
          <w:szCs w:val="52"/>
          <w:shd w:val="clear" w:color="auto" w:fill="FFFFFF"/>
        </w:rPr>
        <w:t>202</w:t>
      </w:r>
      <w:r>
        <w:rPr>
          <w:rFonts w:hint="eastAsia" w:ascii="方正小标宋简体" w:hAnsi="方正小标宋简体" w:eastAsia="方正小标宋简体" w:cs="方正小标宋简体"/>
          <w:sz w:val="52"/>
          <w:szCs w:val="52"/>
          <w:shd w:val="clear" w:color="auto" w:fill="FFFFFF"/>
          <w:lang w:val="en-US" w:eastAsia="zh-CN"/>
        </w:rPr>
        <w:t>4</w:t>
      </w:r>
      <w:r>
        <w:rPr>
          <w:rFonts w:hint="eastAsia" w:ascii="方正小标宋简体" w:hAnsi="方正小标宋简体" w:eastAsia="方正小标宋简体" w:cs="方正小标宋简体"/>
          <w:sz w:val="52"/>
          <w:szCs w:val="52"/>
          <w:shd w:val="clear" w:color="auto" w:fill="FFFFFF"/>
        </w:rPr>
        <w:t>年政府信息公开工作年度报告</w:t>
      </w:r>
    </w:p>
    <w:p w14:paraId="1585D522">
      <w:pPr>
        <w:widowControl/>
        <w:shd w:val="clear" w:color="auto" w:fill="FFFFFF"/>
        <w:ind w:firstLine="480"/>
        <w:rPr>
          <w:rFonts w:hint="eastAsia" w:ascii="方正小标宋简体" w:hAnsi="方正小标宋简体" w:eastAsia="方正小标宋简体" w:cs="方正小标宋简体"/>
          <w:sz w:val="52"/>
          <w:szCs w:val="52"/>
          <w:shd w:val="clear" w:color="auto" w:fill="FFFFFF"/>
        </w:rPr>
      </w:pPr>
    </w:p>
    <w:p w14:paraId="06F2C50C">
      <w:pPr>
        <w:keepNext w:val="0"/>
        <w:keepLines w:val="0"/>
        <w:pageBreakBefore w:val="0"/>
        <w:kinsoku/>
        <w:wordWrap/>
        <w:overflowPunct/>
        <w:topLinePunct w:val="0"/>
        <w:autoSpaceDE/>
        <w:autoSpaceDN/>
        <w:bidi w:val="0"/>
        <w:adjustRightInd/>
        <w:snapToGrid/>
        <w:spacing w:line="560" w:lineRule="exact"/>
        <w:ind w:left="0" w:leftChars="0" w:firstLine="700" w:firstLineChars="0"/>
        <w:textAlignment w:val="auto"/>
        <w:rPr>
          <w:rFonts w:ascii="楷体_GB2312" w:eastAsia="楷体_GB2312"/>
          <w:sz w:val="32"/>
          <w:szCs w:val="32"/>
        </w:rPr>
      </w:pPr>
      <w:r>
        <w:rPr>
          <w:rFonts w:hint="eastAsia" w:ascii="仿宋_GB2312" w:eastAsia="仿宋_GB2312"/>
          <w:sz w:val="32"/>
          <w:szCs w:val="32"/>
        </w:rPr>
        <w:t>本报告根据《中华人民共和国政府信息公开条例》(以下简称《条例》)、《中华人民共和国政府信息公开工作年度报告格式》等要求</w:t>
      </w:r>
      <w:r>
        <w:rPr>
          <w:rFonts w:hint="eastAsia" w:ascii="仿宋_GB2312" w:eastAsia="仿宋_GB2312"/>
          <w:sz w:val="32"/>
          <w:szCs w:val="32"/>
          <w:lang w:val="en-US" w:eastAsia="zh-CN"/>
        </w:rPr>
        <w:t>由济南市卫生健康委</w:t>
      </w:r>
      <w:r>
        <w:rPr>
          <w:rFonts w:hint="eastAsia" w:ascii="仿宋_GB2312" w:eastAsia="仿宋_GB2312"/>
          <w:sz w:val="32"/>
          <w:szCs w:val="32"/>
        </w:rPr>
        <w:t>编制。报告中所列数据的统计期限自202</w:t>
      </w:r>
      <w:r>
        <w:rPr>
          <w:rFonts w:hint="eastAsia" w:ascii="仿宋_GB2312" w:eastAsia="仿宋_GB2312"/>
          <w:sz w:val="32"/>
          <w:szCs w:val="32"/>
          <w:lang w:val="en-US" w:eastAsia="zh-CN"/>
        </w:rPr>
        <w:t>4</w:t>
      </w:r>
      <w:r>
        <w:rPr>
          <w:rFonts w:hint="eastAsia" w:ascii="仿宋_GB2312" w:eastAsia="仿宋_GB2312"/>
          <w:sz w:val="32"/>
          <w:szCs w:val="32"/>
        </w:rPr>
        <w:t>年1月1日起至202</w:t>
      </w:r>
      <w:r>
        <w:rPr>
          <w:rFonts w:hint="eastAsia" w:ascii="仿宋_GB2312" w:eastAsia="仿宋_GB2312"/>
          <w:sz w:val="32"/>
          <w:szCs w:val="32"/>
          <w:lang w:val="en-US" w:eastAsia="zh-CN"/>
        </w:rPr>
        <w:t>4</w:t>
      </w:r>
      <w:r>
        <w:rPr>
          <w:rFonts w:hint="eastAsia" w:ascii="仿宋_GB2312" w:eastAsia="仿宋_GB2312"/>
          <w:sz w:val="32"/>
          <w:szCs w:val="32"/>
        </w:rPr>
        <w:t>年12月31日止。</w:t>
      </w:r>
    </w:p>
    <w:p w14:paraId="691CA598">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60" w:lineRule="exact"/>
        <w:ind w:left="0" w:leftChars="0" w:firstLine="700" w:firstLineChars="0"/>
        <w:jc w:val="both"/>
        <w:textAlignment w:val="auto"/>
        <w:rPr>
          <w:rFonts w:ascii="黑体" w:hAnsi="黑体" w:eastAsia="黑体" w:cs="黑体"/>
          <w:sz w:val="32"/>
          <w:szCs w:val="32"/>
        </w:rPr>
      </w:pPr>
      <w:r>
        <w:rPr>
          <w:rFonts w:hint="eastAsia" w:ascii="黑体" w:hAnsi="黑体" w:eastAsia="黑体" w:cs="黑体"/>
          <w:sz w:val="32"/>
          <w:szCs w:val="32"/>
          <w:shd w:val="clear" w:color="auto" w:fill="FFFFFF"/>
        </w:rPr>
        <w:t>一、总体情况</w:t>
      </w:r>
    </w:p>
    <w:p w14:paraId="18E04B23">
      <w:pPr>
        <w:keepNext w:val="0"/>
        <w:keepLines w:val="0"/>
        <w:pageBreakBefore w:val="0"/>
        <w:kinsoku/>
        <w:wordWrap/>
        <w:overflowPunct/>
        <w:topLinePunct w:val="0"/>
        <w:autoSpaceDE/>
        <w:autoSpaceDN/>
        <w:bidi w:val="0"/>
        <w:adjustRightInd/>
        <w:snapToGrid/>
        <w:spacing w:line="560" w:lineRule="exact"/>
        <w:ind w:left="0" w:leftChars="0" w:firstLine="700" w:firstLineChars="0"/>
        <w:textAlignment w:val="auto"/>
        <w:rPr>
          <w:rFonts w:ascii="仿宋_GB2312" w:eastAsia="仿宋_GB2312"/>
          <w:sz w:val="32"/>
          <w:szCs w:val="32"/>
        </w:rPr>
      </w:pPr>
      <w:r>
        <w:rPr>
          <w:rFonts w:ascii="仿宋_GB2312" w:eastAsia="仿宋_GB2312"/>
          <w:sz w:val="32"/>
          <w:szCs w:val="32"/>
        </w:rPr>
        <w:t>202</w:t>
      </w:r>
      <w:r>
        <w:rPr>
          <w:rFonts w:hint="eastAsia" w:ascii="仿宋_GB2312" w:eastAsia="仿宋_GB2312"/>
          <w:sz w:val="32"/>
          <w:szCs w:val="32"/>
          <w:lang w:val="en-US" w:eastAsia="zh-CN"/>
        </w:rPr>
        <w:t>4</w:t>
      </w:r>
      <w:r>
        <w:rPr>
          <w:rFonts w:hint="eastAsia" w:ascii="仿宋_GB2312" w:eastAsia="仿宋_GB2312"/>
          <w:sz w:val="32"/>
          <w:szCs w:val="32"/>
        </w:rPr>
        <w:t>年，济南市卫生健康委以习近平新时代中国特色社会主义思想为指导，</w:t>
      </w:r>
      <w:r>
        <w:rPr>
          <w:rFonts w:hint="eastAsia" w:ascii="仿宋_GB2312" w:eastAsia="仿宋_GB2312"/>
          <w:sz w:val="32"/>
          <w:szCs w:val="32"/>
          <w:lang w:val="en-US" w:eastAsia="zh-CN"/>
        </w:rPr>
        <w:t>牢固树立健康优先的发展战略，</w:t>
      </w:r>
      <w:r>
        <w:rPr>
          <w:rFonts w:hint="eastAsia" w:ascii="仿宋_GB2312" w:eastAsia="仿宋_GB2312"/>
          <w:sz w:val="32"/>
          <w:szCs w:val="32"/>
        </w:rPr>
        <w:t>深入贯彻落实《条例》和市政府办公厅有关要求，结合全市</w:t>
      </w:r>
      <w:r>
        <w:rPr>
          <w:rFonts w:hint="eastAsia" w:ascii="仿宋_GB2312" w:eastAsia="仿宋_GB2312"/>
          <w:sz w:val="32"/>
          <w:szCs w:val="32"/>
          <w:lang w:val="en-US" w:eastAsia="zh-CN"/>
        </w:rPr>
        <w:t>卫生健康</w:t>
      </w:r>
      <w:r>
        <w:rPr>
          <w:rFonts w:hint="eastAsia" w:ascii="仿宋_GB2312" w:eastAsia="仿宋_GB2312"/>
          <w:sz w:val="32"/>
          <w:szCs w:val="32"/>
        </w:rPr>
        <w:t>工作实际，持续深化政府信息公开工作，推动</w:t>
      </w:r>
      <w:bookmarkStart w:id="0" w:name="_Hlk62158572"/>
      <w:r>
        <w:rPr>
          <w:rFonts w:hint="eastAsia" w:ascii="仿宋_GB2312" w:eastAsia="仿宋_GB2312"/>
          <w:sz w:val="32"/>
          <w:szCs w:val="32"/>
        </w:rPr>
        <w:t>卫生健康政务公开</w:t>
      </w:r>
      <w:r>
        <w:rPr>
          <w:rFonts w:hint="eastAsia" w:ascii="仿宋_GB2312" w:eastAsia="仿宋_GB2312"/>
          <w:sz w:val="32"/>
          <w:szCs w:val="32"/>
          <w:lang w:val="en-US" w:eastAsia="zh-CN"/>
        </w:rPr>
        <w:t>工作质效提增</w:t>
      </w:r>
      <w:r>
        <w:rPr>
          <w:rFonts w:hint="eastAsia" w:ascii="仿宋_GB2312" w:eastAsia="仿宋_GB2312"/>
          <w:sz w:val="32"/>
          <w:szCs w:val="32"/>
        </w:rPr>
        <w:t>。</w:t>
      </w:r>
    </w:p>
    <w:p w14:paraId="48449188">
      <w:pPr>
        <w:keepNext w:val="0"/>
        <w:keepLines w:val="0"/>
        <w:pageBreakBefore w:val="0"/>
        <w:kinsoku/>
        <w:wordWrap/>
        <w:overflowPunct/>
        <w:topLinePunct w:val="0"/>
        <w:autoSpaceDE/>
        <w:autoSpaceDN/>
        <w:bidi w:val="0"/>
        <w:adjustRightInd/>
        <w:snapToGrid/>
        <w:spacing w:line="560" w:lineRule="exact"/>
        <w:ind w:left="0" w:leftChars="0" w:firstLine="700" w:firstLineChars="0"/>
        <w:textAlignment w:val="auto"/>
        <w:rPr>
          <w:rFonts w:hint="eastAsia" w:ascii="楷体_GB2312" w:eastAsia="楷体_GB2312"/>
          <w:sz w:val="32"/>
          <w:szCs w:val="32"/>
        </w:rPr>
      </w:pPr>
      <w:r>
        <w:rPr>
          <w:rFonts w:hint="eastAsia" w:ascii="楷体_GB2312" w:eastAsia="楷体_GB2312"/>
          <w:sz w:val="32"/>
          <w:szCs w:val="32"/>
        </w:rPr>
        <w:t>(一)主动公开情况。</w:t>
      </w:r>
    </w:p>
    <w:p w14:paraId="7C9881C1">
      <w:pPr>
        <w:keepNext w:val="0"/>
        <w:keepLines w:val="0"/>
        <w:pageBreakBefore w:val="0"/>
        <w:kinsoku/>
        <w:wordWrap/>
        <w:overflowPunct/>
        <w:topLinePunct w:val="0"/>
        <w:autoSpaceDE/>
        <w:autoSpaceDN/>
        <w:bidi w:val="0"/>
        <w:adjustRightInd/>
        <w:snapToGrid/>
        <w:spacing w:line="560" w:lineRule="exact"/>
        <w:ind w:left="0" w:leftChars="0" w:firstLine="700" w:firstLineChars="0"/>
        <w:textAlignment w:val="auto"/>
        <w:rPr>
          <w:rFonts w:hint="default" w:ascii="仿宋_GB2312" w:eastAsia="仿宋_GB2312"/>
          <w:sz w:val="32"/>
          <w:szCs w:val="32"/>
          <w:lang w:val="en-US" w:eastAsia="zh-CN"/>
        </w:rPr>
      </w:pPr>
      <w:r>
        <w:rPr>
          <w:rFonts w:hint="eastAsia" w:ascii="仿宋_GB2312" w:eastAsia="仿宋_GB2312"/>
          <w:sz w:val="32"/>
          <w:szCs w:val="32"/>
        </w:rPr>
        <w:t>2</w:t>
      </w:r>
      <w:r>
        <w:rPr>
          <w:rFonts w:ascii="仿宋_GB2312" w:eastAsia="仿宋_GB2312"/>
          <w:sz w:val="32"/>
          <w:szCs w:val="32"/>
        </w:rPr>
        <w:t>02</w:t>
      </w:r>
      <w:r>
        <w:rPr>
          <w:rFonts w:hint="eastAsia" w:ascii="仿宋_GB2312" w:eastAsia="仿宋_GB2312"/>
          <w:sz w:val="32"/>
          <w:szCs w:val="32"/>
          <w:lang w:val="en-US" w:eastAsia="zh-CN"/>
        </w:rPr>
        <w:t>4</w:t>
      </w:r>
      <w:r>
        <w:rPr>
          <w:rFonts w:hint="eastAsia" w:ascii="仿宋_GB2312" w:eastAsia="仿宋_GB2312"/>
          <w:sz w:val="32"/>
          <w:szCs w:val="32"/>
        </w:rPr>
        <w:t>年，</w:t>
      </w:r>
      <w:r>
        <w:rPr>
          <w:rFonts w:hint="eastAsia" w:ascii="仿宋_GB2312" w:eastAsia="仿宋_GB2312"/>
          <w:sz w:val="32"/>
          <w:szCs w:val="32"/>
          <w:lang w:val="en-US" w:eastAsia="zh-CN"/>
        </w:rPr>
        <w:t>济南市卫生健康委不断加大主动公开力度，</w:t>
      </w:r>
      <w:bookmarkStart w:id="12" w:name="_GoBack"/>
      <w:bookmarkEnd w:id="12"/>
      <w:r>
        <w:rPr>
          <w:rFonts w:hint="eastAsia" w:ascii="仿宋_GB2312" w:eastAsia="仿宋_GB2312"/>
          <w:sz w:val="32"/>
          <w:szCs w:val="32"/>
          <w:lang w:val="en-US" w:eastAsia="zh-CN"/>
        </w:rPr>
        <w:t>强化</w:t>
      </w:r>
      <w:r>
        <w:rPr>
          <w:rFonts w:hint="eastAsia" w:ascii="仿宋_GB2312" w:eastAsia="仿宋_GB2312"/>
          <w:sz w:val="32"/>
          <w:szCs w:val="32"/>
        </w:rPr>
        <w:t>对机构职能、公示公告、会议信息、建议提案、政策解读等栏目重点保障。</w:t>
      </w:r>
      <w:r>
        <w:rPr>
          <w:rFonts w:hint="eastAsia" w:ascii="仿宋_GB2312" w:eastAsia="仿宋_GB2312"/>
          <w:sz w:val="32"/>
          <w:szCs w:val="32"/>
          <w:lang w:val="en-US" w:eastAsia="zh-CN"/>
        </w:rPr>
        <w:t>全年在</w:t>
      </w:r>
      <w:r>
        <w:rPr>
          <w:rFonts w:hint="eastAsia" w:ascii="仿宋_GB2312" w:eastAsia="仿宋_GB2312"/>
          <w:sz w:val="32"/>
          <w:szCs w:val="32"/>
        </w:rPr>
        <w:t>济南市卫生健康委员会网站（以下简称</w:t>
      </w:r>
      <w:r>
        <w:rPr>
          <w:rFonts w:hint="eastAsia" w:ascii="仿宋_GB2312" w:eastAsia="仿宋_GB2312"/>
          <w:sz w:val="32"/>
          <w:szCs w:val="32"/>
          <w:lang w:val="en-US" w:eastAsia="zh-CN"/>
        </w:rPr>
        <w:t>委</w:t>
      </w:r>
      <w:r>
        <w:rPr>
          <w:rFonts w:hint="eastAsia" w:ascii="仿宋_GB2312" w:eastAsia="仿宋_GB2312"/>
          <w:sz w:val="32"/>
          <w:szCs w:val="32"/>
        </w:rPr>
        <w:t>网</w:t>
      </w:r>
      <w:r>
        <w:rPr>
          <w:rFonts w:hint="eastAsia" w:ascii="仿宋_GB2312" w:eastAsia="仿宋_GB2312"/>
          <w:sz w:val="32"/>
          <w:szCs w:val="32"/>
          <w:lang w:val="en-US" w:eastAsia="zh-CN"/>
        </w:rPr>
        <w:t>站</w:t>
      </w:r>
      <w:r>
        <w:rPr>
          <w:rFonts w:hint="eastAsia" w:ascii="仿宋_GB2312" w:eastAsia="仿宋_GB2312"/>
          <w:sz w:val="32"/>
          <w:szCs w:val="32"/>
        </w:rPr>
        <w:t>）</w:t>
      </w:r>
      <w:bookmarkEnd w:id="0"/>
      <w:r>
        <w:rPr>
          <w:rFonts w:hint="eastAsia" w:ascii="仿宋_GB2312" w:eastAsia="仿宋_GB2312"/>
          <w:sz w:val="32"/>
          <w:szCs w:val="32"/>
        </w:rPr>
        <w:t>公开信息4167条，“济南卫生健康”（</w:t>
      </w:r>
      <w:r>
        <w:rPr>
          <w:rFonts w:ascii="仿宋_GB2312" w:eastAsia="仿宋_GB2312"/>
          <w:sz w:val="32"/>
          <w:szCs w:val="32"/>
        </w:rPr>
        <w:t>jnwsjk</w:t>
      </w:r>
      <w:r>
        <w:rPr>
          <w:rFonts w:hint="eastAsia" w:ascii="仿宋_GB2312" w:eastAsia="仿宋_GB2312"/>
          <w:sz w:val="32"/>
          <w:szCs w:val="32"/>
        </w:rPr>
        <w:t>）微信公众号等政务新媒体发布信息1477条，</w:t>
      </w:r>
      <w:r>
        <w:rPr>
          <w:rFonts w:hint="eastAsia" w:ascii="仿宋_GB2312" w:eastAsia="仿宋_GB2312"/>
          <w:sz w:val="32"/>
          <w:szCs w:val="32"/>
          <w:lang w:val="en-US" w:eastAsia="zh-CN"/>
        </w:rPr>
        <w:t>主流媒体发稿5.1万篇，</w:t>
      </w:r>
      <w:r>
        <w:rPr>
          <w:rFonts w:hint="eastAsia" w:ascii="仿宋_GB2312" w:eastAsia="仿宋_GB2312"/>
          <w:sz w:val="32"/>
          <w:szCs w:val="32"/>
        </w:rPr>
        <w:t>参加</w:t>
      </w:r>
      <w:r>
        <w:rPr>
          <w:rFonts w:hint="eastAsia" w:ascii="仿宋_GB2312" w:eastAsia="仿宋_GB2312"/>
          <w:sz w:val="32"/>
          <w:szCs w:val="32"/>
          <w:lang w:val="en-US" w:eastAsia="zh-CN"/>
        </w:rPr>
        <w:t>国家卫生健康委新闻发布会2场、</w:t>
      </w:r>
      <w:r>
        <w:rPr>
          <w:rFonts w:hint="eastAsia" w:ascii="仿宋_GB2312" w:eastAsia="仿宋_GB2312"/>
          <w:sz w:val="32"/>
          <w:szCs w:val="32"/>
        </w:rPr>
        <w:t>省市政府</w:t>
      </w:r>
      <w:r>
        <w:rPr>
          <w:rFonts w:hint="eastAsia" w:ascii="仿宋_GB2312" w:eastAsia="仿宋_GB2312"/>
          <w:color w:val="auto"/>
          <w:sz w:val="32"/>
          <w:szCs w:val="32"/>
        </w:rPr>
        <w:t>新闻发布会</w:t>
      </w:r>
      <w:r>
        <w:rPr>
          <w:rFonts w:hint="eastAsia" w:ascii="仿宋_GB2312" w:eastAsia="仿宋_GB2312"/>
          <w:color w:val="auto"/>
          <w:sz w:val="32"/>
          <w:szCs w:val="32"/>
          <w:lang w:val="en-US" w:eastAsia="zh-CN"/>
        </w:rPr>
        <w:t>9</w:t>
      </w:r>
      <w:r>
        <w:rPr>
          <w:rFonts w:hint="eastAsia" w:ascii="仿宋_GB2312" w:eastAsia="仿宋_GB2312"/>
          <w:color w:val="auto"/>
          <w:sz w:val="32"/>
          <w:szCs w:val="32"/>
        </w:rPr>
        <w:t>场。</w:t>
      </w:r>
      <w:r>
        <w:rPr>
          <w:rFonts w:hint="eastAsia" w:ascii="仿宋_GB2312" w:eastAsia="仿宋_GB2312"/>
          <w:sz w:val="32"/>
          <w:szCs w:val="32"/>
          <w:lang w:val="en-US" w:eastAsia="zh-CN"/>
        </w:rPr>
        <w:t>其中，动态类信息2860条、机构职能类信息3条、信息公开目录信息729条、其他信息575条。</w:t>
      </w:r>
    </w:p>
    <w:p w14:paraId="6C4F6B26">
      <w:pPr>
        <w:pStyle w:val="6"/>
        <w:widowControl/>
        <w:spacing w:beforeAutospacing="0" w:afterAutospacing="0" w:line="555" w:lineRule="atLeast"/>
        <w:rPr>
          <w:rFonts w:hint="eastAsia" w:eastAsia="宋体"/>
          <w:lang w:eastAsia="zh-CN"/>
        </w:rPr>
      </w:pPr>
      <w:bookmarkStart w:id="1" w:name="_Hlk156343707"/>
      <w:r>
        <w:rPr>
          <w:rFonts w:hint="eastAsia" w:eastAsia="宋体"/>
          <w:lang w:eastAsia="zh-CN"/>
        </w:rPr>
        <w:drawing>
          <wp:inline distT="0" distB="0" distL="114300" distR="114300">
            <wp:extent cx="5644515" cy="3058160"/>
            <wp:effectExtent l="4445" t="4445" r="15240" b="10795"/>
            <wp:docPr id="18" name="图表 18" descr="7b0a202020202263686172745265734964223a2022343632353834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bookmarkEnd w:id="1"/>
    <w:p w14:paraId="7E950733">
      <w:pPr>
        <w:spacing w:line="560" w:lineRule="exact"/>
        <w:ind w:left="105" w:leftChars="50" w:firstLine="652" w:firstLineChars="204"/>
        <w:rPr>
          <w:rFonts w:ascii="仿宋_GB2312" w:eastAsia="仿宋_GB2312"/>
          <w:sz w:val="32"/>
          <w:szCs w:val="32"/>
        </w:rPr>
      </w:pPr>
      <w:r>
        <w:rPr>
          <w:rFonts w:hint="eastAsia" w:ascii="楷体_GB2312" w:hAnsi="楷体_GB2312" w:eastAsia="楷体_GB2312" w:cs="楷体_GB2312"/>
          <w:sz w:val="32"/>
          <w:szCs w:val="32"/>
        </w:rPr>
        <w:t>（二）依申请公开情况。</w:t>
      </w:r>
      <w:r>
        <w:rPr>
          <w:rFonts w:hint="eastAsia" w:ascii="仿宋_GB2312" w:eastAsia="仿宋_GB2312"/>
          <w:sz w:val="32"/>
          <w:szCs w:val="32"/>
        </w:rPr>
        <w:t>全年受理依申请公开</w:t>
      </w:r>
      <w:r>
        <w:rPr>
          <w:rFonts w:ascii="仿宋_GB2312" w:eastAsia="仿宋_GB2312"/>
          <w:sz w:val="32"/>
          <w:szCs w:val="32"/>
        </w:rPr>
        <w:t>5</w:t>
      </w:r>
      <w:r>
        <w:rPr>
          <w:rFonts w:hint="eastAsia" w:ascii="仿宋_GB2312" w:eastAsia="仿宋_GB2312"/>
          <w:sz w:val="32"/>
          <w:szCs w:val="32"/>
          <w:lang w:val="en-US" w:eastAsia="zh-CN"/>
        </w:rPr>
        <w:t>8</w:t>
      </w:r>
      <w:r>
        <w:rPr>
          <w:rFonts w:hint="eastAsia" w:ascii="仿宋_GB2312" w:eastAsia="仿宋_GB2312"/>
          <w:sz w:val="32"/>
          <w:szCs w:val="32"/>
        </w:rPr>
        <w:t>件，其中本年度办理</w:t>
      </w:r>
      <w:r>
        <w:rPr>
          <w:rFonts w:hint="eastAsia" w:ascii="仿宋_GB2312" w:eastAsia="仿宋_GB2312"/>
          <w:sz w:val="32"/>
          <w:szCs w:val="32"/>
          <w:lang w:val="en-US" w:eastAsia="zh-CN"/>
        </w:rPr>
        <w:t>50</w:t>
      </w:r>
      <w:r>
        <w:rPr>
          <w:rFonts w:hint="eastAsia" w:ascii="仿宋_GB2312" w:eastAsia="仿宋_GB2312"/>
          <w:sz w:val="32"/>
          <w:szCs w:val="32"/>
        </w:rPr>
        <w:t>件，上年度结转办理</w:t>
      </w:r>
      <w:r>
        <w:rPr>
          <w:rFonts w:hint="eastAsia" w:ascii="仿宋_GB2312" w:eastAsia="仿宋_GB2312"/>
          <w:sz w:val="32"/>
          <w:szCs w:val="32"/>
          <w:lang w:val="en-US" w:eastAsia="zh-CN"/>
        </w:rPr>
        <w:t>8</w:t>
      </w:r>
      <w:r>
        <w:rPr>
          <w:rFonts w:hint="eastAsia" w:ascii="仿宋_GB2312" w:eastAsia="仿宋_GB2312"/>
          <w:sz w:val="32"/>
          <w:szCs w:val="32"/>
        </w:rPr>
        <w:t>件。</w:t>
      </w:r>
      <w:r>
        <w:rPr>
          <w:rFonts w:hint="eastAsia" w:ascii="仿宋_GB2312" w:eastAsia="仿宋_GB2312"/>
          <w:sz w:val="32"/>
          <w:szCs w:val="32"/>
          <w:lang w:val="en-US" w:eastAsia="zh-CN"/>
        </w:rPr>
        <w:t>具体是</w:t>
      </w:r>
      <w:r>
        <w:rPr>
          <w:rFonts w:hint="eastAsia" w:ascii="仿宋_GB2312" w:eastAsia="仿宋_GB2312"/>
          <w:sz w:val="32"/>
          <w:szCs w:val="32"/>
        </w:rPr>
        <w:t>予以公开</w:t>
      </w:r>
      <w:r>
        <w:rPr>
          <w:rFonts w:hint="eastAsia" w:ascii="仿宋_GB2312" w:eastAsia="仿宋_GB2312"/>
          <w:sz w:val="32"/>
          <w:szCs w:val="32"/>
          <w:lang w:val="en-US" w:eastAsia="zh-CN"/>
        </w:rPr>
        <w:t>12</w:t>
      </w:r>
      <w:r>
        <w:rPr>
          <w:rFonts w:hint="eastAsia" w:ascii="仿宋_GB2312" w:eastAsia="仿宋_GB2312"/>
          <w:sz w:val="32"/>
          <w:szCs w:val="32"/>
        </w:rPr>
        <w:t>件</w:t>
      </w:r>
      <w:r>
        <w:rPr>
          <w:rFonts w:hint="eastAsia" w:ascii="仿宋_GB2312" w:eastAsia="仿宋_GB2312"/>
          <w:sz w:val="32"/>
          <w:szCs w:val="32"/>
          <w:lang w:eastAsia="zh-CN"/>
        </w:rPr>
        <w:t>、</w:t>
      </w:r>
      <w:r>
        <w:rPr>
          <w:rFonts w:hint="eastAsia" w:ascii="仿宋_GB2312" w:eastAsia="仿宋_GB2312"/>
          <w:sz w:val="32"/>
          <w:szCs w:val="32"/>
        </w:rPr>
        <w:t>部分公开</w:t>
      </w:r>
      <w:r>
        <w:rPr>
          <w:rFonts w:hint="eastAsia" w:ascii="仿宋_GB2312" w:eastAsia="仿宋_GB2312"/>
          <w:sz w:val="32"/>
          <w:szCs w:val="32"/>
          <w:lang w:val="en-US" w:eastAsia="zh-CN"/>
        </w:rPr>
        <w:t>2</w:t>
      </w:r>
      <w:r>
        <w:rPr>
          <w:rFonts w:hint="eastAsia" w:ascii="仿宋_GB2312" w:eastAsia="仿宋_GB2312"/>
          <w:sz w:val="32"/>
          <w:szCs w:val="32"/>
        </w:rPr>
        <w:t>件</w:t>
      </w:r>
      <w:bookmarkStart w:id="2" w:name="OLE_LINK2"/>
      <w:r>
        <w:rPr>
          <w:rFonts w:hint="eastAsia" w:ascii="仿宋_GB2312" w:eastAsia="仿宋_GB2312"/>
          <w:sz w:val="32"/>
          <w:szCs w:val="32"/>
          <w:lang w:eastAsia="zh-CN"/>
        </w:rPr>
        <w:t>、</w:t>
      </w:r>
      <w:r>
        <w:rPr>
          <w:rFonts w:hint="eastAsia" w:ascii="仿宋_GB2312" w:eastAsia="仿宋_GB2312"/>
          <w:sz w:val="32"/>
          <w:szCs w:val="32"/>
          <w:lang w:val="en-US" w:eastAsia="zh-CN"/>
        </w:rPr>
        <w:t>不予公开1件、</w:t>
      </w:r>
      <w:r>
        <w:rPr>
          <w:rFonts w:hint="eastAsia" w:ascii="仿宋_GB2312" w:eastAsia="仿宋_GB2312"/>
          <w:sz w:val="32"/>
          <w:szCs w:val="32"/>
        </w:rPr>
        <w:t>无法提供</w:t>
      </w:r>
      <w:bookmarkEnd w:id="2"/>
      <w:r>
        <w:rPr>
          <w:rFonts w:hint="eastAsia" w:ascii="仿宋_GB2312" w:eastAsia="仿宋_GB2312"/>
          <w:sz w:val="32"/>
          <w:szCs w:val="32"/>
          <w:lang w:val="en-US" w:eastAsia="zh-CN"/>
        </w:rPr>
        <w:t>25</w:t>
      </w:r>
      <w:r>
        <w:rPr>
          <w:rFonts w:hint="eastAsia" w:ascii="仿宋_GB2312" w:eastAsia="仿宋_GB2312"/>
          <w:sz w:val="32"/>
          <w:szCs w:val="32"/>
        </w:rPr>
        <w:t>件</w:t>
      </w:r>
      <w:r>
        <w:rPr>
          <w:rFonts w:hint="eastAsia" w:ascii="仿宋_GB2312" w:eastAsia="仿宋_GB2312"/>
          <w:sz w:val="32"/>
          <w:szCs w:val="32"/>
          <w:lang w:eastAsia="zh-CN"/>
        </w:rPr>
        <w:t>、</w:t>
      </w:r>
      <w:r>
        <w:rPr>
          <w:rFonts w:hint="eastAsia" w:ascii="仿宋_GB2312" w:eastAsia="仿宋_GB2312"/>
          <w:sz w:val="32"/>
          <w:szCs w:val="32"/>
        </w:rPr>
        <w:t>不予处理</w:t>
      </w:r>
      <w:r>
        <w:rPr>
          <w:rFonts w:hint="eastAsia" w:ascii="仿宋_GB2312" w:eastAsia="仿宋_GB2312"/>
          <w:sz w:val="32"/>
          <w:szCs w:val="32"/>
          <w:lang w:eastAsia="zh-CN"/>
        </w:rPr>
        <w:t>（</w:t>
      </w:r>
      <w:r>
        <w:rPr>
          <w:rFonts w:hint="eastAsia" w:ascii="仿宋_GB2312" w:eastAsia="仿宋_GB2312"/>
          <w:sz w:val="32"/>
          <w:szCs w:val="32"/>
          <w:lang w:val="en-US" w:eastAsia="zh-CN"/>
        </w:rPr>
        <w:t>重复申请）</w:t>
      </w:r>
      <w:r>
        <w:rPr>
          <w:rFonts w:ascii="仿宋_GB2312" w:eastAsia="仿宋_GB2312"/>
          <w:sz w:val="32"/>
          <w:szCs w:val="32"/>
        </w:rPr>
        <w:t>5</w:t>
      </w:r>
      <w:r>
        <w:rPr>
          <w:rFonts w:hint="eastAsia" w:ascii="仿宋_GB2312" w:eastAsia="仿宋_GB2312"/>
          <w:sz w:val="32"/>
          <w:szCs w:val="32"/>
        </w:rPr>
        <w:t>件</w:t>
      </w:r>
      <w:r>
        <w:rPr>
          <w:rFonts w:hint="eastAsia" w:ascii="仿宋_GB2312" w:eastAsia="仿宋_GB2312"/>
          <w:sz w:val="32"/>
          <w:szCs w:val="32"/>
          <w:lang w:eastAsia="zh-CN"/>
        </w:rPr>
        <w:t>、</w:t>
      </w:r>
      <w:r>
        <w:rPr>
          <w:rFonts w:hint="eastAsia" w:ascii="仿宋_GB2312" w:eastAsia="仿宋_GB2312"/>
          <w:sz w:val="32"/>
          <w:szCs w:val="32"/>
        </w:rPr>
        <w:t>其他处理件</w:t>
      </w:r>
      <w:r>
        <w:rPr>
          <w:rFonts w:hint="eastAsia" w:ascii="仿宋_GB2312" w:eastAsia="仿宋_GB2312"/>
          <w:sz w:val="32"/>
          <w:szCs w:val="32"/>
          <w:lang w:val="en-US" w:eastAsia="zh-CN"/>
        </w:rPr>
        <w:t>10</w:t>
      </w:r>
      <w:r>
        <w:rPr>
          <w:rFonts w:hint="eastAsia" w:ascii="仿宋_GB2312" w:eastAsia="仿宋_GB2312"/>
          <w:sz w:val="32"/>
          <w:szCs w:val="32"/>
        </w:rPr>
        <w:t>件</w:t>
      </w:r>
      <w:r>
        <w:rPr>
          <w:rFonts w:hint="eastAsia" w:ascii="仿宋_GB2312" w:eastAsia="仿宋_GB2312"/>
          <w:sz w:val="32"/>
          <w:szCs w:val="32"/>
          <w:lang w:eastAsia="zh-CN"/>
        </w:rPr>
        <w:t>、</w:t>
      </w:r>
      <w:r>
        <w:rPr>
          <w:rFonts w:hint="eastAsia" w:ascii="仿宋_GB2312" w:eastAsia="仿宋_GB2312"/>
          <w:sz w:val="32"/>
          <w:szCs w:val="32"/>
        </w:rPr>
        <w:t>转结下年度继续办理的</w:t>
      </w:r>
      <w:r>
        <w:rPr>
          <w:rFonts w:hint="eastAsia" w:ascii="仿宋_GB2312" w:eastAsia="仿宋_GB2312"/>
          <w:sz w:val="32"/>
          <w:szCs w:val="32"/>
          <w:lang w:val="en-US" w:eastAsia="zh-CN"/>
        </w:rPr>
        <w:t>3</w:t>
      </w:r>
      <w:r>
        <w:rPr>
          <w:rFonts w:hint="eastAsia" w:ascii="仿宋_GB2312" w:eastAsia="仿宋_GB2312"/>
          <w:sz w:val="32"/>
          <w:szCs w:val="32"/>
        </w:rPr>
        <w:t>件。</w:t>
      </w:r>
    </w:p>
    <w:p w14:paraId="6389B448">
      <w:pPr>
        <w:ind w:left="105" w:leftChars="50" w:firstLine="51" w:firstLineChars="16"/>
        <w:rPr>
          <w:rFonts w:hint="eastAsia" w:ascii="仿宋_GB2312" w:eastAsia="仿宋_GB2312"/>
          <w:sz w:val="32"/>
          <w:szCs w:val="32"/>
          <w:lang w:eastAsia="zh-CN"/>
        </w:rPr>
      </w:pPr>
      <w:r>
        <w:rPr>
          <w:rFonts w:hint="eastAsia" w:ascii="仿宋_GB2312" w:eastAsia="仿宋_GB2312"/>
          <w:sz w:val="32"/>
          <w:szCs w:val="32"/>
          <w:lang w:eastAsia="zh-CN"/>
        </w:rPr>
        <w:drawing>
          <wp:inline distT="0" distB="0" distL="114300" distR="114300">
            <wp:extent cx="5608955" cy="3242310"/>
            <wp:effectExtent l="4445" t="4445" r="12700" b="17145"/>
            <wp:docPr id="19" name="图表 19" descr="7b0a202020202263686172745265734964223a20223230343732323036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16DE331C">
      <w:pPr>
        <w:pStyle w:val="6"/>
        <w:widowControl/>
        <w:spacing w:beforeAutospacing="0" w:afterAutospacing="0" w:line="555" w:lineRule="atLeast"/>
        <w:ind w:firstLine="645"/>
        <w:rPr>
          <w:rFonts w:ascii="仿宋_GB2312" w:hAnsi="仿宋_GB2312" w:eastAsia="仿宋_GB2312" w:cs="仿宋_GB2312"/>
          <w:sz w:val="32"/>
          <w:szCs w:val="32"/>
        </w:rPr>
      </w:pPr>
      <w:r>
        <w:rPr>
          <w:rFonts w:hint="eastAsia" w:ascii="楷体_GB2312" w:hAnsi="楷体_GB2312" w:eastAsia="楷体_GB2312" w:cs="楷体_GB2312"/>
          <w:sz w:val="32"/>
          <w:szCs w:val="32"/>
        </w:rPr>
        <w:t>（三）政府信息管理情况。</w:t>
      </w:r>
      <w:r>
        <w:rPr>
          <w:rFonts w:hint="eastAsia" w:ascii="仿宋_GB2312" w:hAnsi="仿宋_GB2312" w:eastAsia="仿宋_GB2312" w:cs="仿宋_GB2312"/>
          <w:color w:val="auto"/>
          <w:sz w:val="32"/>
          <w:szCs w:val="32"/>
        </w:rPr>
        <w:t>根据</w:t>
      </w:r>
      <w:r>
        <w:rPr>
          <w:rFonts w:hint="eastAsia" w:ascii="仿宋_GB2312" w:hAnsi="仿宋_GB2312" w:eastAsia="仿宋_GB2312" w:cs="仿宋_GB2312"/>
          <w:color w:val="auto"/>
          <w:sz w:val="32"/>
          <w:szCs w:val="32"/>
          <w:lang w:val="en-US" w:eastAsia="zh-CN"/>
        </w:rPr>
        <w:t>市政府办公厅</w:t>
      </w:r>
      <w:r>
        <w:rPr>
          <w:rFonts w:hint="eastAsia" w:ascii="仿宋_GB2312" w:hAnsi="仿宋_GB2312" w:eastAsia="仿宋_GB2312" w:cs="仿宋_GB2312"/>
          <w:color w:val="auto"/>
          <w:sz w:val="32"/>
          <w:szCs w:val="32"/>
        </w:rPr>
        <w:t>工作要求，加强</w:t>
      </w:r>
      <w:r>
        <w:rPr>
          <w:rFonts w:hint="eastAsia" w:ascii="仿宋_GB2312" w:hAnsi="仿宋_GB2312" w:eastAsia="仿宋_GB2312" w:cs="仿宋_GB2312"/>
          <w:color w:val="auto"/>
          <w:sz w:val="32"/>
          <w:szCs w:val="32"/>
          <w:lang w:val="en-US" w:eastAsia="zh-CN"/>
        </w:rPr>
        <w:t>委网站信息</w:t>
      </w:r>
      <w:r>
        <w:rPr>
          <w:rFonts w:hint="eastAsia" w:ascii="仿宋_GB2312" w:hAnsi="仿宋_GB2312" w:eastAsia="仿宋_GB2312" w:cs="仿宋_GB2312"/>
          <w:color w:val="auto"/>
          <w:sz w:val="32"/>
          <w:szCs w:val="32"/>
        </w:rPr>
        <w:t>管理</w:t>
      </w:r>
      <w:r>
        <w:rPr>
          <w:rFonts w:hint="eastAsia" w:ascii="仿宋_GB2312" w:hAnsi="仿宋_GB2312" w:eastAsia="仿宋_GB2312" w:cs="仿宋_GB2312"/>
          <w:color w:val="auto"/>
          <w:sz w:val="32"/>
          <w:szCs w:val="32"/>
          <w:lang w:val="en-US" w:eastAsia="zh-CN"/>
        </w:rPr>
        <w:t>及</w:t>
      </w:r>
      <w:r>
        <w:rPr>
          <w:rFonts w:hint="eastAsia" w:ascii="仿宋_GB2312" w:hAnsi="仿宋_GB2312" w:eastAsia="仿宋_GB2312" w:cs="仿宋_GB2312"/>
          <w:color w:val="auto"/>
          <w:sz w:val="32"/>
          <w:szCs w:val="32"/>
        </w:rPr>
        <w:t>动态</w:t>
      </w:r>
      <w:r>
        <w:rPr>
          <w:rFonts w:hint="eastAsia" w:ascii="仿宋_GB2312" w:hAnsi="仿宋_GB2312" w:eastAsia="仿宋_GB2312" w:cs="仿宋_GB2312"/>
          <w:color w:val="auto"/>
          <w:sz w:val="32"/>
          <w:szCs w:val="32"/>
          <w:lang w:val="en-US" w:eastAsia="zh-CN"/>
        </w:rPr>
        <w:t>更新</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及时更新了《政府信息公开指南》，</w:t>
      </w:r>
      <w:r>
        <w:rPr>
          <w:rFonts w:hint="eastAsia" w:ascii="仿宋_GB2312" w:hAnsi="仿宋_GB2312" w:eastAsia="仿宋_GB2312" w:cs="仿宋_GB2312"/>
          <w:color w:val="auto"/>
          <w:sz w:val="32"/>
          <w:szCs w:val="32"/>
        </w:rPr>
        <w:t>制定</w:t>
      </w:r>
      <w:r>
        <w:rPr>
          <w:rFonts w:hint="eastAsia" w:ascii="仿宋_GB2312" w:hAnsi="仿宋_GB2312" w:eastAsia="仿宋_GB2312" w:cs="仿宋_GB2312"/>
          <w:color w:val="auto"/>
          <w:sz w:val="32"/>
          <w:szCs w:val="32"/>
          <w:lang w:val="en-US" w:eastAsia="zh-CN"/>
        </w:rPr>
        <w:t>并发布了</w:t>
      </w:r>
      <w:r>
        <w:rPr>
          <w:rFonts w:hint="eastAsia" w:ascii="仿宋_GB2312" w:hAnsi="仿宋_GB2312" w:eastAsia="仿宋_GB2312" w:cs="仿宋_GB2312"/>
          <w:color w:val="auto"/>
          <w:sz w:val="32"/>
          <w:szCs w:val="32"/>
        </w:rPr>
        <w:t>《济南市</w:t>
      </w:r>
      <w:r>
        <w:rPr>
          <w:rFonts w:hint="eastAsia" w:ascii="仿宋_GB2312" w:hAnsi="仿宋_GB2312" w:eastAsia="仿宋_GB2312" w:cs="仿宋_GB2312"/>
          <w:color w:val="auto"/>
          <w:sz w:val="32"/>
          <w:szCs w:val="32"/>
          <w:lang w:val="en-US" w:eastAsia="zh-CN"/>
        </w:rPr>
        <w:t>卫生健康委员会</w:t>
      </w:r>
      <w:r>
        <w:rPr>
          <w:rFonts w:hint="eastAsia" w:ascii="仿宋_GB2312" w:hAnsi="仿宋_GB2312" w:eastAsia="仿宋_GB2312" w:cs="仿宋_GB2312"/>
          <w:color w:val="auto"/>
          <w:sz w:val="32"/>
          <w:szCs w:val="32"/>
        </w:rPr>
        <w:t>2024年政务公开工作实施方案》</w:t>
      </w:r>
      <w:r>
        <w:rPr>
          <w:rFonts w:hint="eastAsia" w:ascii="仿宋_GB2312" w:hAnsi="仿宋_GB2312" w:eastAsia="仿宋_GB2312" w:cs="仿宋_GB2312"/>
          <w:color w:val="auto"/>
          <w:sz w:val="32"/>
          <w:szCs w:val="32"/>
          <w:lang w:eastAsia="zh-CN"/>
        </w:rPr>
        <w:t>。</w:t>
      </w:r>
    </w:p>
    <w:p w14:paraId="2F3E56B5">
      <w:pPr>
        <w:pStyle w:val="6"/>
        <w:widowControl/>
        <w:spacing w:beforeAutospacing="0" w:afterAutospacing="0" w:line="555" w:lineRule="atLeast"/>
        <w:rPr>
          <w:rFonts w:ascii="仿宋_GB2312" w:hAnsi="仿宋_GB2312" w:eastAsia="仿宋_GB2312" w:cs="仿宋_GB2312"/>
          <w:sz w:val="32"/>
          <w:szCs w:val="32"/>
          <w:lang w:eastAsia="zh"/>
        </w:rPr>
      </w:pPr>
      <w:r>
        <w:drawing>
          <wp:inline distT="0" distB="0" distL="114300" distR="114300">
            <wp:extent cx="5660390" cy="6895465"/>
            <wp:effectExtent l="0" t="0" r="3810" b="63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7"/>
                    <a:stretch>
                      <a:fillRect/>
                    </a:stretch>
                  </pic:blipFill>
                  <pic:spPr>
                    <a:xfrm>
                      <a:off x="0" y="0"/>
                      <a:ext cx="5660390" cy="6895465"/>
                    </a:xfrm>
                    <a:prstGeom prst="rect">
                      <a:avLst/>
                    </a:prstGeom>
                    <a:noFill/>
                    <a:ln>
                      <a:noFill/>
                    </a:ln>
                  </pic:spPr>
                </pic:pic>
              </a:graphicData>
            </a:graphic>
          </wp:inline>
        </w:drawing>
      </w:r>
    </w:p>
    <w:p w14:paraId="3F2FD5E6">
      <w:pPr>
        <w:pStyle w:val="6"/>
        <w:widowControl/>
        <w:spacing w:beforeAutospacing="0" w:afterAutospacing="0" w:line="555" w:lineRule="atLeast"/>
        <w:jc w:val="center"/>
        <w:rPr>
          <w:lang w:eastAsia="zh"/>
        </w:rPr>
      </w:pPr>
      <w:r>
        <w:drawing>
          <wp:inline distT="0" distB="0" distL="114300" distR="114300">
            <wp:extent cx="5642610" cy="6673850"/>
            <wp:effectExtent l="0" t="0" r="8890" b="635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8"/>
                    <a:stretch>
                      <a:fillRect/>
                    </a:stretch>
                  </pic:blipFill>
                  <pic:spPr>
                    <a:xfrm>
                      <a:off x="0" y="0"/>
                      <a:ext cx="5642610" cy="6673850"/>
                    </a:xfrm>
                    <a:prstGeom prst="rect">
                      <a:avLst/>
                    </a:prstGeom>
                    <a:noFill/>
                    <a:ln>
                      <a:noFill/>
                    </a:ln>
                  </pic:spPr>
                </pic:pic>
              </a:graphicData>
            </a:graphic>
          </wp:inline>
        </w:drawing>
      </w:r>
    </w:p>
    <w:p w14:paraId="7EBDDE00">
      <w:pPr>
        <w:spacing w:line="590" w:lineRule="exact"/>
        <w:ind w:firstLine="640" w:firstLineChars="200"/>
      </w:pPr>
      <w:r>
        <w:rPr>
          <w:rFonts w:hint="eastAsia" w:ascii="楷体_GB2312" w:hAnsi="楷体_GB2312" w:eastAsia="楷体_GB2312" w:cs="楷体_GB2312"/>
          <w:sz w:val="32"/>
          <w:szCs w:val="32"/>
        </w:rPr>
        <w:t>（四）政府信息公开平台建设情况。</w:t>
      </w:r>
      <w:r>
        <w:rPr>
          <w:rFonts w:hint="eastAsia" w:ascii="仿宋_GB2312" w:hAnsi="仿宋_GB2312" w:eastAsia="仿宋_GB2312" w:cs="仿宋_GB2312"/>
          <w:sz w:val="32"/>
          <w:szCs w:val="32"/>
        </w:rPr>
        <w:t>加强</w:t>
      </w:r>
      <w:r>
        <w:rPr>
          <w:rFonts w:hint="eastAsia" w:ascii="仿宋_GB2312" w:hAnsi="仿宋_GB2312" w:eastAsia="仿宋_GB2312" w:cs="仿宋_GB2312"/>
          <w:sz w:val="32"/>
          <w:szCs w:val="32"/>
          <w:lang w:val="en-US" w:eastAsia="zh-CN"/>
        </w:rPr>
        <w:t>委网站和</w:t>
      </w:r>
      <w:r>
        <w:rPr>
          <w:rFonts w:hint="eastAsia" w:ascii="仿宋_GB2312" w:hAnsi="仿宋_GB2312" w:eastAsia="仿宋_GB2312" w:cs="仿宋_GB2312"/>
          <w:sz w:val="32"/>
          <w:szCs w:val="32"/>
          <w:lang w:eastAsia="zh"/>
        </w:rPr>
        <w:t>“济南卫生健康”</w:t>
      </w:r>
      <w:r>
        <w:rPr>
          <w:rFonts w:hint="eastAsia" w:ascii="仿宋_GB2312" w:hAnsi="仿宋_GB2312" w:eastAsia="仿宋_GB2312" w:cs="仿宋_GB2312"/>
          <w:sz w:val="32"/>
          <w:szCs w:val="32"/>
        </w:rPr>
        <w:t>微信公众号等</w:t>
      </w:r>
      <w:r>
        <w:rPr>
          <w:rFonts w:hint="eastAsia" w:ascii="仿宋_GB2312" w:hAnsi="仿宋_GB2312" w:eastAsia="仿宋_GB2312" w:cs="仿宋_GB2312"/>
          <w:sz w:val="32"/>
          <w:szCs w:val="32"/>
          <w:lang w:eastAsia="zh"/>
        </w:rPr>
        <w:t>网站、</w:t>
      </w:r>
      <w:r>
        <w:rPr>
          <w:rFonts w:hint="eastAsia" w:ascii="仿宋_GB2312" w:hAnsi="仿宋_GB2312" w:eastAsia="仿宋_GB2312" w:cs="仿宋_GB2312"/>
          <w:sz w:val="32"/>
          <w:szCs w:val="32"/>
        </w:rPr>
        <w:t>政务新媒体建设，</w:t>
      </w:r>
      <w:r>
        <w:rPr>
          <w:rFonts w:hint="eastAsia" w:ascii="仿宋_GB2312" w:hAnsi="仿宋_GB2312" w:eastAsia="仿宋_GB2312" w:cs="仿宋_GB2312"/>
          <w:sz w:val="32"/>
          <w:szCs w:val="32"/>
          <w:lang w:val="en-US" w:eastAsia="zh-CN"/>
        </w:rPr>
        <w:t>实现委</w:t>
      </w:r>
      <w:r>
        <w:rPr>
          <w:rFonts w:hint="eastAsia" w:ascii="仿宋_GB2312" w:hAnsi="仿宋_GB2312" w:eastAsia="仿宋_GB2312" w:cs="仿宋_GB2312"/>
          <w:sz w:val="32"/>
          <w:szCs w:val="32"/>
        </w:rPr>
        <w:t>网站、微信公众号</w:t>
      </w:r>
      <w:r>
        <w:rPr>
          <w:rFonts w:hint="eastAsia" w:ascii="仿宋_GB2312" w:hAnsi="仿宋_GB2312" w:eastAsia="仿宋_GB2312" w:cs="仿宋_GB2312"/>
          <w:sz w:val="32"/>
          <w:szCs w:val="32"/>
          <w:lang w:val="en-US" w:eastAsia="zh-CN"/>
        </w:rPr>
        <w:t>信息发布的关联互动。</w:t>
      </w:r>
      <w:r>
        <w:rPr>
          <w:rFonts w:hint="eastAsia" w:ascii="仿宋_GB2312" w:hAnsi="仿宋_GB2312" w:eastAsia="仿宋_GB2312" w:cs="仿宋_GB2312"/>
          <w:sz w:val="32"/>
          <w:szCs w:val="32"/>
        </w:rPr>
        <w:t>强化</w:t>
      </w:r>
      <w:r>
        <w:rPr>
          <w:rFonts w:hint="eastAsia" w:ascii="仿宋_GB2312" w:hAnsi="仿宋_GB2312" w:eastAsia="仿宋_GB2312" w:cs="仿宋_GB2312"/>
          <w:sz w:val="32"/>
          <w:szCs w:val="32"/>
          <w:lang w:val="en-US" w:eastAsia="zh-CN"/>
        </w:rPr>
        <w:t>信息发布</w:t>
      </w:r>
      <w:r>
        <w:rPr>
          <w:rFonts w:hint="eastAsia" w:ascii="仿宋_GB2312" w:hAnsi="仿宋_GB2312" w:eastAsia="仿宋_GB2312" w:cs="仿宋_GB2312"/>
          <w:sz w:val="32"/>
          <w:szCs w:val="32"/>
        </w:rPr>
        <w:t>“三审三校”，</w:t>
      </w:r>
      <w:r>
        <w:rPr>
          <w:rFonts w:hint="eastAsia" w:ascii="仿宋_GB2312" w:hAnsi="仿宋_GB2312" w:eastAsia="仿宋_GB2312" w:cs="仿宋_GB2312"/>
          <w:sz w:val="32"/>
          <w:szCs w:val="32"/>
          <w:lang w:val="en-US" w:eastAsia="zh-CN"/>
        </w:rPr>
        <w:t>委网站和政务新媒体发布</w:t>
      </w:r>
      <w:r>
        <w:rPr>
          <w:rFonts w:hint="eastAsia" w:ascii="仿宋_GB2312" w:hAnsi="仿宋_GB2312" w:eastAsia="仿宋_GB2312" w:cs="仿宋_GB2312"/>
          <w:sz w:val="32"/>
          <w:szCs w:val="32"/>
        </w:rPr>
        <w:t>信息</w:t>
      </w:r>
      <w:r>
        <w:rPr>
          <w:rFonts w:hint="eastAsia" w:ascii="仿宋_GB2312" w:hAnsi="仿宋_GB2312" w:eastAsia="仿宋_GB2312" w:cs="仿宋_GB2312"/>
          <w:sz w:val="32"/>
          <w:szCs w:val="32"/>
          <w:lang w:val="en-US" w:eastAsia="zh-CN"/>
        </w:rPr>
        <w:t>均通过全市信息发布监管平台检查核对，</w:t>
      </w:r>
      <w:r>
        <w:rPr>
          <w:rFonts w:hint="eastAsia" w:ascii="仿宋_GB2312" w:hAnsi="仿宋_GB2312" w:eastAsia="仿宋_GB2312" w:cs="仿宋_GB2312"/>
          <w:sz w:val="32"/>
          <w:szCs w:val="32"/>
        </w:rPr>
        <w:t>确保安全。</w:t>
      </w:r>
    </w:p>
    <w:p w14:paraId="6F4A9033">
      <w:pPr>
        <w:widowControl/>
        <w:shd w:val="clear" w:color="auto" w:fill="FFFFFF"/>
        <w:ind w:left="0" w:leftChars="0" w:firstLine="640" w:firstLineChars="0"/>
        <w:rPr>
          <w:rFonts w:hint="default" w:ascii="仿宋_GB2312" w:hAnsi="仿宋_GB2312" w:eastAsia="仿宋_GB2312" w:cs="仿宋_GB2312"/>
          <w:color w:val="333333"/>
          <w:kern w:val="0"/>
          <w:sz w:val="24"/>
          <w:szCs w:val="24"/>
          <w:lang w:val="en-US"/>
        </w:rPr>
      </w:pPr>
      <w:r>
        <w:rPr>
          <w:rFonts w:hint="eastAsia" w:ascii="楷体_GB2312" w:hAnsi="楷体_GB2312" w:eastAsia="楷体_GB2312" w:cs="楷体_GB2312"/>
          <w:sz w:val="32"/>
          <w:szCs w:val="32"/>
        </w:rPr>
        <w:t>（五）监督保障情况。</w:t>
      </w:r>
      <w:r>
        <w:rPr>
          <w:rFonts w:hint="eastAsia" w:ascii="仿宋_GB2312" w:eastAsia="仿宋_GB2312"/>
          <w:sz w:val="32"/>
          <w:szCs w:val="32"/>
          <w:lang w:val="en-US" w:eastAsia="zh-CN"/>
        </w:rPr>
        <w:t>及时调整</w:t>
      </w:r>
      <w:r>
        <w:rPr>
          <w:rFonts w:hint="eastAsia" w:ascii="仿宋_GB2312" w:eastAsia="仿宋_GB2312"/>
          <w:sz w:val="32"/>
          <w:szCs w:val="32"/>
        </w:rPr>
        <w:t>202</w:t>
      </w:r>
      <w:r>
        <w:rPr>
          <w:rFonts w:hint="eastAsia" w:ascii="仿宋_GB2312" w:eastAsia="仿宋_GB2312"/>
          <w:sz w:val="32"/>
          <w:szCs w:val="32"/>
          <w:lang w:val="en-US" w:eastAsia="zh-CN"/>
        </w:rPr>
        <w:t>4</w:t>
      </w:r>
      <w:r>
        <w:rPr>
          <w:rFonts w:hint="eastAsia" w:ascii="仿宋_GB2312" w:eastAsia="仿宋_GB2312"/>
          <w:sz w:val="32"/>
          <w:szCs w:val="32"/>
        </w:rPr>
        <w:t>年度政务公开工作领导小组组成人员，</w:t>
      </w:r>
      <w:r>
        <w:rPr>
          <w:rFonts w:hint="eastAsia" w:ascii="仿宋_GB2312" w:eastAsia="仿宋_GB2312"/>
          <w:sz w:val="32"/>
          <w:szCs w:val="32"/>
          <w:lang w:val="en-US" w:eastAsia="zh-CN"/>
        </w:rPr>
        <w:t>更新</w:t>
      </w:r>
      <w:r>
        <w:rPr>
          <w:rFonts w:hint="eastAsia" w:ascii="仿宋_GB2312" w:eastAsia="仿宋_GB2312"/>
          <w:sz w:val="32"/>
          <w:szCs w:val="32"/>
        </w:rPr>
        <w:t>2024年度政务公开工作机构</w:t>
      </w:r>
      <w:r>
        <w:rPr>
          <w:rFonts w:hint="eastAsia" w:ascii="仿宋_GB2312" w:eastAsia="仿宋_GB2312"/>
          <w:sz w:val="32"/>
          <w:szCs w:val="32"/>
          <w:lang w:eastAsia="zh-CN"/>
        </w:rPr>
        <w:t>，</w:t>
      </w:r>
      <w:r>
        <w:rPr>
          <w:rFonts w:hint="eastAsia" w:ascii="仿宋_GB2312" w:eastAsia="仿宋_GB2312"/>
          <w:sz w:val="32"/>
          <w:szCs w:val="32"/>
        </w:rPr>
        <w:t>开展</w:t>
      </w:r>
      <w:r>
        <w:rPr>
          <w:rFonts w:hint="eastAsia" w:ascii="仿宋_GB2312" w:eastAsia="仿宋_GB2312"/>
          <w:sz w:val="32"/>
          <w:szCs w:val="32"/>
          <w:lang w:val="en-US" w:eastAsia="zh-CN"/>
        </w:rPr>
        <w:t>政策文件解读培训会，增强</w:t>
      </w:r>
      <w:r>
        <w:rPr>
          <w:rFonts w:hint="eastAsia" w:ascii="仿宋_GB2312" w:eastAsia="仿宋_GB2312"/>
          <w:sz w:val="32"/>
          <w:szCs w:val="32"/>
        </w:rPr>
        <w:t>政策解读材料与政策文件同步起草、同步审签、同步发布“三同步”</w:t>
      </w:r>
      <w:r>
        <w:rPr>
          <w:rFonts w:hint="eastAsia" w:ascii="仿宋_GB2312" w:eastAsia="仿宋_GB2312"/>
          <w:sz w:val="32"/>
          <w:szCs w:val="32"/>
          <w:lang w:val="en-US" w:eastAsia="zh-CN"/>
        </w:rPr>
        <w:t>意识。加大卫生健康领域</w:t>
      </w:r>
      <w:r>
        <w:rPr>
          <w:rFonts w:hint="eastAsia" w:ascii="仿宋_GB2312" w:eastAsia="仿宋_GB2312"/>
          <w:sz w:val="32"/>
          <w:szCs w:val="32"/>
        </w:rPr>
        <w:t>公共企事业单位信息公开</w:t>
      </w:r>
      <w:r>
        <w:rPr>
          <w:rFonts w:hint="eastAsia" w:ascii="仿宋_GB2312" w:eastAsia="仿宋_GB2312"/>
          <w:sz w:val="32"/>
          <w:szCs w:val="32"/>
          <w:lang w:val="en-US" w:eastAsia="zh-CN"/>
        </w:rPr>
        <w:t>力度</w:t>
      </w:r>
      <w:r>
        <w:rPr>
          <w:rFonts w:hint="eastAsia" w:ascii="仿宋_GB2312" w:eastAsia="仿宋_GB2312"/>
          <w:sz w:val="32"/>
          <w:szCs w:val="32"/>
        </w:rPr>
        <w:t>，</w:t>
      </w:r>
      <w:r>
        <w:rPr>
          <w:rFonts w:hint="eastAsia" w:ascii="仿宋_GB2312" w:eastAsia="仿宋_GB2312"/>
          <w:sz w:val="32"/>
          <w:szCs w:val="32"/>
          <w:lang w:val="en-US" w:eastAsia="zh-CN"/>
        </w:rPr>
        <w:t>及时调度各单位完善公开目录，更新信息。按时完成</w:t>
      </w:r>
      <w:r>
        <w:rPr>
          <w:rFonts w:hint="eastAsia" w:ascii="仿宋_GB2312" w:eastAsia="仿宋_GB2312"/>
          <w:sz w:val="32"/>
          <w:szCs w:val="32"/>
        </w:rPr>
        <w:t>网站和政务新媒体</w:t>
      </w:r>
      <w:r>
        <w:rPr>
          <w:rFonts w:hint="eastAsia" w:ascii="仿宋_GB2312" w:eastAsia="仿宋_GB2312"/>
          <w:sz w:val="32"/>
          <w:szCs w:val="32"/>
          <w:lang w:val="en-US" w:eastAsia="zh-CN"/>
        </w:rPr>
        <w:t>问题</w:t>
      </w:r>
      <w:r>
        <w:rPr>
          <w:rFonts w:hint="eastAsia" w:ascii="仿宋_GB2312" w:eastAsia="仿宋_GB2312"/>
          <w:sz w:val="32"/>
          <w:szCs w:val="32"/>
        </w:rPr>
        <w:t>整改。</w:t>
      </w:r>
      <w:r>
        <w:rPr>
          <w:rFonts w:hint="eastAsia" w:ascii="仿宋_GB2312" w:eastAsia="仿宋_GB2312"/>
          <w:sz w:val="32"/>
          <w:szCs w:val="32"/>
          <w:lang w:val="en-US" w:eastAsia="zh-CN"/>
        </w:rPr>
        <w:t>完善委网站信息发布前置审核制度，确保信息发布安全。</w:t>
      </w:r>
    </w:p>
    <w:p w14:paraId="38FAF2B9">
      <w:pPr>
        <w:widowControl/>
        <w:shd w:val="clear" w:color="auto" w:fill="FFFFFF"/>
        <w:ind w:left="0" w:leftChars="0" w:firstLine="640" w:firstLineChars="0"/>
        <w:rPr>
          <w:rFonts w:hint="eastAsia" w:ascii="黑体" w:hAnsi="黑体" w:eastAsia="黑体" w:cs="黑体"/>
          <w:b w:val="0"/>
          <w:bCs w:val="0"/>
          <w:color w:val="333333"/>
          <w:kern w:val="0"/>
          <w:sz w:val="32"/>
          <w:szCs w:val="32"/>
        </w:rPr>
      </w:pPr>
      <w:r>
        <w:rPr>
          <w:rFonts w:hint="eastAsia" w:ascii="黑体" w:hAnsi="黑体" w:eastAsia="黑体" w:cs="黑体"/>
          <w:b w:val="0"/>
          <w:bCs w:val="0"/>
          <w:color w:val="333333"/>
          <w:kern w:val="0"/>
          <w:sz w:val="32"/>
          <w:szCs w:val="32"/>
        </w:rPr>
        <w:t>二、主动公开政府信息情况</w:t>
      </w:r>
    </w:p>
    <w:tbl>
      <w:tblPr>
        <w:tblStyle w:val="7"/>
        <w:tblW w:w="9840" w:type="dxa"/>
        <w:jc w:val="center"/>
        <w:tblLayout w:type="autofit"/>
        <w:tblCellMar>
          <w:top w:w="0" w:type="dxa"/>
          <w:left w:w="0" w:type="dxa"/>
          <w:bottom w:w="0" w:type="dxa"/>
          <w:right w:w="0" w:type="dxa"/>
        </w:tblCellMar>
      </w:tblPr>
      <w:tblGrid>
        <w:gridCol w:w="2577"/>
        <w:gridCol w:w="2420"/>
        <w:gridCol w:w="2420"/>
        <w:gridCol w:w="2423"/>
      </w:tblGrid>
      <w:tr w14:paraId="6937D4AD">
        <w:tblPrEx>
          <w:tblCellMar>
            <w:top w:w="0" w:type="dxa"/>
            <w:left w:w="0" w:type="dxa"/>
            <w:bottom w:w="0" w:type="dxa"/>
            <w:right w:w="0" w:type="dxa"/>
          </w:tblCellMar>
        </w:tblPrEx>
        <w:trPr>
          <w:trHeight w:val="552" w:hRule="atLeast"/>
          <w:jc w:val="center"/>
        </w:trPr>
        <w:tc>
          <w:tcPr>
            <w:tcW w:w="9840" w:type="dxa"/>
            <w:gridSpan w:val="4"/>
            <w:tcBorders>
              <w:top w:val="single" w:color="auto" w:sz="8" w:space="0"/>
              <w:left w:val="single" w:color="auto" w:sz="8" w:space="0"/>
              <w:bottom w:val="single" w:color="auto" w:sz="8" w:space="0"/>
              <w:right w:val="single" w:color="auto" w:sz="8" w:space="0"/>
            </w:tcBorders>
            <w:shd w:val="clear" w:color="auto" w:fill="C6D9F1"/>
            <w:tcMar>
              <w:top w:w="0" w:type="dxa"/>
              <w:left w:w="57" w:type="dxa"/>
              <w:bottom w:w="0" w:type="dxa"/>
              <w:right w:w="57" w:type="dxa"/>
            </w:tcMar>
            <w:vAlign w:val="center"/>
          </w:tcPr>
          <w:p w14:paraId="1722E5D8">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第二十条第（一）项</w:t>
            </w:r>
          </w:p>
        </w:tc>
      </w:tr>
      <w:tr w14:paraId="5713DBC4">
        <w:tblPrEx>
          <w:tblCellMar>
            <w:top w:w="0" w:type="dxa"/>
            <w:left w:w="0" w:type="dxa"/>
            <w:bottom w:w="0" w:type="dxa"/>
            <w:right w:w="0" w:type="dxa"/>
          </w:tblCellMar>
        </w:tblPrEx>
        <w:trPr>
          <w:trHeight w:val="552" w:hRule="atLeast"/>
          <w:jc w:val="center"/>
        </w:trPr>
        <w:tc>
          <w:tcPr>
            <w:tcW w:w="2577" w:type="dxa"/>
            <w:tcBorders>
              <w:top w:val="nil"/>
              <w:left w:val="single" w:color="auto" w:sz="8" w:space="0"/>
              <w:bottom w:val="single" w:color="auto" w:sz="8" w:space="0"/>
              <w:right w:val="single" w:color="auto" w:sz="8" w:space="0"/>
            </w:tcBorders>
            <w:tcMar>
              <w:top w:w="0" w:type="dxa"/>
              <w:left w:w="57" w:type="dxa"/>
              <w:bottom w:w="0" w:type="dxa"/>
              <w:right w:w="57" w:type="dxa"/>
            </w:tcMar>
            <w:vAlign w:val="center"/>
          </w:tcPr>
          <w:p w14:paraId="3D0FD7BC">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信息内容</w:t>
            </w:r>
          </w:p>
        </w:tc>
        <w:tc>
          <w:tcPr>
            <w:tcW w:w="2420" w:type="dxa"/>
            <w:tcBorders>
              <w:top w:val="single" w:color="auto" w:sz="8" w:space="0"/>
              <w:left w:val="nil"/>
              <w:bottom w:val="single" w:color="auto" w:sz="8" w:space="0"/>
              <w:right w:val="single" w:color="auto" w:sz="8" w:space="0"/>
            </w:tcBorders>
            <w:tcMar>
              <w:top w:w="0" w:type="dxa"/>
              <w:left w:w="57" w:type="dxa"/>
              <w:bottom w:w="0" w:type="dxa"/>
              <w:right w:w="57" w:type="dxa"/>
            </w:tcMar>
            <w:vAlign w:val="center"/>
          </w:tcPr>
          <w:p w14:paraId="0E896968">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本年</w:t>
            </w:r>
            <w:r>
              <w:rPr>
                <w:rFonts w:hint="eastAsia" w:ascii="仿宋_GB2312" w:hAnsi="仿宋_GB2312" w:eastAsia="仿宋_GB2312" w:cs="仿宋_GB2312"/>
                <w:kern w:val="0"/>
                <w:sz w:val="28"/>
                <w:szCs w:val="28"/>
              </w:rPr>
              <w:t>制发件数</w:t>
            </w:r>
          </w:p>
        </w:tc>
        <w:tc>
          <w:tcPr>
            <w:tcW w:w="2420" w:type="dxa"/>
            <w:tcBorders>
              <w:top w:val="single" w:color="auto" w:sz="8" w:space="0"/>
              <w:left w:val="nil"/>
              <w:bottom w:val="single" w:color="auto" w:sz="8" w:space="0"/>
              <w:right w:val="single" w:color="auto" w:sz="8" w:space="0"/>
            </w:tcBorders>
            <w:tcMar>
              <w:top w:w="0" w:type="dxa"/>
              <w:left w:w="57" w:type="dxa"/>
              <w:bottom w:w="0" w:type="dxa"/>
              <w:right w:w="57" w:type="dxa"/>
            </w:tcMar>
            <w:vAlign w:val="center"/>
          </w:tcPr>
          <w:p w14:paraId="5D686D44">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本年废止件数</w:t>
            </w:r>
          </w:p>
        </w:tc>
        <w:tc>
          <w:tcPr>
            <w:tcW w:w="2423" w:type="dxa"/>
            <w:tcBorders>
              <w:top w:val="single" w:color="auto" w:sz="8" w:space="0"/>
              <w:left w:val="nil"/>
              <w:bottom w:val="single" w:color="auto" w:sz="8" w:space="0"/>
              <w:right w:val="single" w:color="auto" w:sz="8" w:space="0"/>
            </w:tcBorders>
            <w:tcMar>
              <w:top w:w="0" w:type="dxa"/>
              <w:left w:w="57" w:type="dxa"/>
              <w:bottom w:w="0" w:type="dxa"/>
              <w:right w:w="57" w:type="dxa"/>
            </w:tcMar>
            <w:vAlign w:val="center"/>
          </w:tcPr>
          <w:p w14:paraId="6F641FE0">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现行有效件</w:t>
            </w:r>
            <w:r>
              <w:rPr>
                <w:rFonts w:hint="eastAsia" w:ascii="仿宋_GB2312" w:hAnsi="仿宋_GB2312" w:eastAsia="仿宋_GB2312" w:cs="仿宋_GB2312"/>
                <w:kern w:val="0"/>
                <w:sz w:val="28"/>
                <w:szCs w:val="28"/>
              </w:rPr>
              <w:t>数</w:t>
            </w:r>
          </w:p>
        </w:tc>
      </w:tr>
      <w:tr w14:paraId="794CD6D3">
        <w:tblPrEx>
          <w:tblCellMar>
            <w:top w:w="0" w:type="dxa"/>
            <w:left w:w="0" w:type="dxa"/>
            <w:bottom w:w="0" w:type="dxa"/>
            <w:right w:w="0" w:type="dxa"/>
          </w:tblCellMar>
        </w:tblPrEx>
        <w:trPr>
          <w:trHeight w:val="552" w:hRule="atLeast"/>
          <w:jc w:val="center"/>
        </w:trPr>
        <w:tc>
          <w:tcPr>
            <w:tcW w:w="2577" w:type="dxa"/>
            <w:tcBorders>
              <w:top w:val="nil"/>
              <w:left w:val="single" w:color="auto" w:sz="8" w:space="0"/>
              <w:bottom w:val="single" w:color="auto" w:sz="8" w:space="0"/>
              <w:right w:val="single" w:color="auto" w:sz="8" w:space="0"/>
            </w:tcBorders>
            <w:tcMar>
              <w:top w:w="0" w:type="dxa"/>
              <w:left w:w="57" w:type="dxa"/>
              <w:bottom w:w="0" w:type="dxa"/>
              <w:right w:w="57" w:type="dxa"/>
            </w:tcMar>
            <w:vAlign w:val="center"/>
          </w:tcPr>
          <w:p w14:paraId="7A74E1D1">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规章</w:t>
            </w:r>
          </w:p>
        </w:tc>
        <w:tc>
          <w:tcPr>
            <w:tcW w:w="2420" w:type="dxa"/>
            <w:tcBorders>
              <w:top w:val="nil"/>
              <w:left w:val="nil"/>
              <w:bottom w:val="single" w:color="auto" w:sz="8" w:space="0"/>
              <w:right w:val="single" w:color="auto" w:sz="8" w:space="0"/>
            </w:tcBorders>
            <w:tcMar>
              <w:top w:w="0" w:type="dxa"/>
              <w:left w:w="57" w:type="dxa"/>
              <w:bottom w:w="0" w:type="dxa"/>
              <w:right w:w="57" w:type="dxa"/>
            </w:tcMar>
            <w:vAlign w:val="center"/>
          </w:tcPr>
          <w:p w14:paraId="3C78CEF6">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0</w:t>
            </w:r>
          </w:p>
        </w:tc>
        <w:tc>
          <w:tcPr>
            <w:tcW w:w="2420" w:type="dxa"/>
            <w:tcBorders>
              <w:top w:val="nil"/>
              <w:left w:val="nil"/>
              <w:bottom w:val="single" w:color="auto" w:sz="8" w:space="0"/>
              <w:right w:val="single" w:color="auto" w:sz="8" w:space="0"/>
            </w:tcBorders>
            <w:tcMar>
              <w:top w:w="0" w:type="dxa"/>
              <w:left w:w="57" w:type="dxa"/>
              <w:bottom w:w="0" w:type="dxa"/>
              <w:right w:w="57" w:type="dxa"/>
            </w:tcMar>
            <w:vAlign w:val="center"/>
          </w:tcPr>
          <w:p w14:paraId="0C1C4219">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0</w:t>
            </w:r>
          </w:p>
        </w:tc>
        <w:tc>
          <w:tcPr>
            <w:tcW w:w="2423" w:type="dxa"/>
            <w:tcBorders>
              <w:top w:val="nil"/>
              <w:left w:val="nil"/>
              <w:bottom w:val="single" w:color="auto" w:sz="8" w:space="0"/>
              <w:right w:val="single" w:color="auto" w:sz="8" w:space="0"/>
            </w:tcBorders>
            <w:tcMar>
              <w:top w:w="0" w:type="dxa"/>
              <w:left w:w="57" w:type="dxa"/>
              <w:bottom w:w="0" w:type="dxa"/>
              <w:right w:w="57" w:type="dxa"/>
            </w:tcMar>
            <w:vAlign w:val="center"/>
          </w:tcPr>
          <w:p w14:paraId="4CA537A0">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0</w:t>
            </w:r>
          </w:p>
        </w:tc>
      </w:tr>
      <w:tr w14:paraId="3FE1B621">
        <w:tblPrEx>
          <w:tblCellMar>
            <w:top w:w="0" w:type="dxa"/>
            <w:left w:w="0" w:type="dxa"/>
            <w:bottom w:w="0" w:type="dxa"/>
            <w:right w:w="0" w:type="dxa"/>
          </w:tblCellMar>
        </w:tblPrEx>
        <w:trPr>
          <w:trHeight w:val="552" w:hRule="atLeast"/>
          <w:jc w:val="center"/>
        </w:trPr>
        <w:tc>
          <w:tcPr>
            <w:tcW w:w="2577" w:type="dxa"/>
            <w:tcBorders>
              <w:top w:val="nil"/>
              <w:left w:val="single" w:color="auto" w:sz="8" w:space="0"/>
              <w:bottom w:val="single" w:color="auto" w:sz="8" w:space="0"/>
              <w:right w:val="single" w:color="auto" w:sz="8" w:space="0"/>
            </w:tcBorders>
            <w:tcMar>
              <w:top w:w="0" w:type="dxa"/>
              <w:left w:w="57" w:type="dxa"/>
              <w:bottom w:w="0" w:type="dxa"/>
              <w:right w:w="57" w:type="dxa"/>
            </w:tcMar>
            <w:vAlign w:val="center"/>
          </w:tcPr>
          <w:p w14:paraId="75727931">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行政规范性文件</w:t>
            </w:r>
          </w:p>
        </w:tc>
        <w:tc>
          <w:tcPr>
            <w:tcW w:w="2420" w:type="dxa"/>
            <w:tcBorders>
              <w:top w:val="nil"/>
              <w:left w:val="nil"/>
              <w:bottom w:val="single" w:color="auto" w:sz="8" w:space="0"/>
              <w:right w:val="single" w:color="auto" w:sz="8" w:space="0"/>
            </w:tcBorders>
            <w:tcMar>
              <w:top w:w="0" w:type="dxa"/>
              <w:left w:w="57" w:type="dxa"/>
              <w:bottom w:w="0" w:type="dxa"/>
              <w:right w:w="57" w:type="dxa"/>
            </w:tcMar>
            <w:vAlign w:val="center"/>
          </w:tcPr>
          <w:p w14:paraId="5BF0802F">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1</w:t>
            </w:r>
          </w:p>
        </w:tc>
        <w:tc>
          <w:tcPr>
            <w:tcW w:w="2420" w:type="dxa"/>
            <w:tcBorders>
              <w:top w:val="nil"/>
              <w:left w:val="nil"/>
              <w:bottom w:val="single" w:color="auto" w:sz="8" w:space="0"/>
              <w:right w:val="single" w:color="auto" w:sz="8" w:space="0"/>
            </w:tcBorders>
            <w:tcMar>
              <w:top w:w="0" w:type="dxa"/>
              <w:left w:w="57" w:type="dxa"/>
              <w:bottom w:w="0" w:type="dxa"/>
              <w:right w:w="57" w:type="dxa"/>
            </w:tcMar>
            <w:vAlign w:val="center"/>
          </w:tcPr>
          <w:p w14:paraId="4492F5E2">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0</w:t>
            </w:r>
          </w:p>
        </w:tc>
        <w:tc>
          <w:tcPr>
            <w:tcW w:w="2423" w:type="dxa"/>
            <w:tcBorders>
              <w:top w:val="nil"/>
              <w:left w:val="nil"/>
              <w:bottom w:val="single" w:color="auto" w:sz="8" w:space="0"/>
              <w:right w:val="single" w:color="auto" w:sz="8" w:space="0"/>
            </w:tcBorders>
            <w:tcMar>
              <w:top w:w="0" w:type="dxa"/>
              <w:left w:w="57" w:type="dxa"/>
              <w:bottom w:w="0" w:type="dxa"/>
              <w:right w:w="57" w:type="dxa"/>
            </w:tcMar>
            <w:vAlign w:val="center"/>
          </w:tcPr>
          <w:p w14:paraId="4AD524C6">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2</w:t>
            </w:r>
          </w:p>
        </w:tc>
      </w:tr>
      <w:tr w14:paraId="712D344E">
        <w:tblPrEx>
          <w:tblCellMar>
            <w:top w:w="0" w:type="dxa"/>
            <w:left w:w="0" w:type="dxa"/>
            <w:bottom w:w="0" w:type="dxa"/>
            <w:right w:w="0" w:type="dxa"/>
          </w:tblCellMar>
        </w:tblPrEx>
        <w:trPr>
          <w:trHeight w:val="552" w:hRule="atLeast"/>
          <w:jc w:val="center"/>
        </w:trPr>
        <w:tc>
          <w:tcPr>
            <w:tcW w:w="9840" w:type="dxa"/>
            <w:gridSpan w:val="4"/>
            <w:tcBorders>
              <w:top w:val="nil"/>
              <w:left w:val="single" w:color="auto" w:sz="8" w:space="0"/>
              <w:bottom w:val="single" w:color="auto" w:sz="8" w:space="0"/>
              <w:right w:val="single" w:color="auto" w:sz="8" w:space="0"/>
            </w:tcBorders>
            <w:shd w:val="clear" w:color="auto" w:fill="C6D9F1"/>
            <w:tcMar>
              <w:top w:w="0" w:type="dxa"/>
              <w:left w:w="57" w:type="dxa"/>
              <w:bottom w:w="0" w:type="dxa"/>
              <w:right w:w="57" w:type="dxa"/>
            </w:tcMar>
            <w:vAlign w:val="center"/>
          </w:tcPr>
          <w:p w14:paraId="212D20FB">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第二十条第（五）项</w:t>
            </w:r>
          </w:p>
        </w:tc>
      </w:tr>
      <w:tr w14:paraId="2D347FDB">
        <w:tblPrEx>
          <w:tblCellMar>
            <w:top w:w="0" w:type="dxa"/>
            <w:left w:w="0" w:type="dxa"/>
            <w:bottom w:w="0" w:type="dxa"/>
            <w:right w:w="0" w:type="dxa"/>
          </w:tblCellMar>
        </w:tblPrEx>
        <w:trPr>
          <w:trHeight w:val="552" w:hRule="atLeast"/>
          <w:jc w:val="center"/>
        </w:trPr>
        <w:tc>
          <w:tcPr>
            <w:tcW w:w="2577" w:type="dxa"/>
            <w:tcBorders>
              <w:top w:val="nil"/>
              <w:left w:val="single" w:color="auto" w:sz="8" w:space="0"/>
              <w:bottom w:val="single" w:color="auto" w:sz="8" w:space="0"/>
              <w:right w:val="single" w:color="auto" w:sz="8" w:space="0"/>
            </w:tcBorders>
            <w:tcMar>
              <w:top w:w="0" w:type="dxa"/>
              <w:left w:w="57" w:type="dxa"/>
              <w:bottom w:w="0" w:type="dxa"/>
              <w:right w:w="57" w:type="dxa"/>
            </w:tcMar>
            <w:vAlign w:val="center"/>
          </w:tcPr>
          <w:p w14:paraId="5D940F1F">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信息内容</w:t>
            </w:r>
          </w:p>
        </w:tc>
        <w:tc>
          <w:tcPr>
            <w:tcW w:w="7263" w:type="dxa"/>
            <w:gridSpan w:val="3"/>
            <w:tcBorders>
              <w:top w:val="nil"/>
              <w:left w:val="nil"/>
              <w:bottom w:val="single" w:color="auto" w:sz="8" w:space="0"/>
              <w:right w:val="single" w:color="auto" w:sz="8" w:space="0"/>
            </w:tcBorders>
            <w:tcMar>
              <w:top w:w="0" w:type="dxa"/>
              <w:left w:w="57" w:type="dxa"/>
              <w:bottom w:w="0" w:type="dxa"/>
              <w:right w:w="57" w:type="dxa"/>
            </w:tcMar>
            <w:vAlign w:val="center"/>
          </w:tcPr>
          <w:p w14:paraId="39A91FA4">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本年处理决定数量</w:t>
            </w:r>
          </w:p>
        </w:tc>
      </w:tr>
      <w:tr w14:paraId="23134E27">
        <w:tblPrEx>
          <w:tblCellMar>
            <w:top w:w="0" w:type="dxa"/>
            <w:left w:w="0" w:type="dxa"/>
            <w:bottom w:w="0" w:type="dxa"/>
            <w:right w:w="0" w:type="dxa"/>
          </w:tblCellMar>
        </w:tblPrEx>
        <w:trPr>
          <w:trHeight w:val="552" w:hRule="atLeast"/>
          <w:jc w:val="center"/>
        </w:trPr>
        <w:tc>
          <w:tcPr>
            <w:tcW w:w="2577" w:type="dxa"/>
            <w:tcBorders>
              <w:top w:val="nil"/>
              <w:left w:val="single" w:color="auto" w:sz="8" w:space="0"/>
              <w:bottom w:val="single" w:color="auto" w:sz="8" w:space="0"/>
              <w:right w:val="single" w:color="auto" w:sz="8" w:space="0"/>
            </w:tcBorders>
            <w:tcMar>
              <w:top w:w="0" w:type="dxa"/>
              <w:left w:w="57" w:type="dxa"/>
              <w:bottom w:w="0" w:type="dxa"/>
              <w:right w:w="57" w:type="dxa"/>
            </w:tcMar>
            <w:vAlign w:val="center"/>
          </w:tcPr>
          <w:p w14:paraId="10196E4F">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行政许可</w:t>
            </w:r>
          </w:p>
        </w:tc>
        <w:tc>
          <w:tcPr>
            <w:tcW w:w="7263" w:type="dxa"/>
            <w:gridSpan w:val="3"/>
            <w:tcBorders>
              <w:top w:val="nil"/>
              <w:left w:val="nil"/>
              <w:bottom w:val="single" w:color="auto" w:sz="8" w:space="0"/>
              <w:right w:val="single" w:color="auto" w:sz="8" w:space="0"/>
            </w:tcBorders>
            <w:tcMar>
              <w:top w:w="0" w:type="dxa"/>
              <w:left w:w="57" w:type="dxa"/>
              <w:bottom w:w="0" w:type="dxa"/>
              <w:right w:w="57" w:type="dxa"/>
            </w:tcMar>
            <w:vAlign w:val="center"/>
          </w:tcPr>
          <w:p w14:paraId="4A16D651">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8587</w:t>
            </w:r>
          </w:p>
        </w:tc>
      </w:tr>
      <w:tr w14:paraId="4CFD5013">
        <w:tblPrEx>
          <w:tblCellMar>
            <w:top w:w="0" w:type="dxa"/>
            <w:left w:w="0" w:type="dxa"/>
            <w:bottom w:w="0" w:type="dxa"/>
            <w:right w:w="0" w:type="dxa"/>
          </w:tblCellMar>
        </w:tblPrEx>
        <w:trPr>
          <w:trHeight w:val="552" w:hRule="atLeast"/>
          <w:jc w:val="center"/>
        </w:trPr>
        <w:tc>
          <w:tcPr>
            <w:tcW w:w="9840" w:type="dxa"/>
            <w:gridSpan w:val="4"/>
            <w:tcBorders>
              <w:top w:val="nil"/>
              <w:left w:val="single" w:color="auto" w:sz="8" w:space="0"/>
              <w:bottom w:val="single" w:color="auto" w:sz="8" w:space="0"/>
              <w:right w:val="single" w:color="auto" w:sz="8" w:space="0"/>
            </w:tcBorders>
            <w:shd w:val="clear" w:color="auto" w:fill="C6D9F1"/>
            <w:tcMar>
              <w:top w:w="0" w:type="dxa"/>
              <w:left w:w="57" w:type="dxa"/>
              <w:bottom w:w="0" w:type="dxa"/>
              <w:right w:w="57" w:type="dxa"/>
            </w:tcMar>
            <w:vAlign w:val="center"/>
          </w:tcPr>
          <w:p w14:paraId="5CBF9D7C">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第二十条第（六）项</w:t>
            </w:r>
          </w:p>
        </w:tc>
      </w:tr>
      <w:tr w14:paraId="4AB31167">
        <w:tblPrEx>
          <w:tblCellMar>
            <w:top w:w="0" w:type="dxa"/>
            <w:left w:w="0" w:type="dxa"/>
            <w:bottom w:w="0" w:type="dxa"/>
            <w:right w:w="0" w:type="dxa"/>
          </w:tblCellMar>
        </w:tblPrEx>
        <w:trPr>
          <w:trHeight w:val="552" w:hRule="atLeast"/>
          <w:jc w:val="center"/>
        </w:trPr>
        <w:tc>
          <w:tcPr>
            <w:tcW w:w="2577" w:type="dxa"/>
            <w:tcBorders>
              <w:top w:val="nil"/>
              <w:left w:val="single" w:color="auto" w:sz="8" w:space="0"/>
              <w:bottom w:val="single" w:color="auto" w:sz="8" w:space="0"/>
              <w:right w:val="single" w:color="auto" w:sz="8" w:space="0"/>
            </w:tcBorders>
            <w:tcMar>
              <w:top w:w="0" w:type="dxa"/>
              <w:left w:w="57" w:type="dxa"/>
              <w:bottom w:w="0" w:type="dxa"/>
              <w:right w:w="57" w:type="dxa"/>
            </w:tcMar>
            <w:vAlign w:val="center"/>
          </w:tcPr>
          <w:p w14:paraId="272D22B1">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信息内容</w:t>
            </w:r>
          </w:p>
        </w:tc>
        <w:tc>
          <w:tcPr>
            <w:tcW w:w="7263" w:type="dxa"/>
            <w:gridSpan w:val="3"/>
            <w:tcBorders>
              <w:top w:val="single" w:color="auto" w:sz="8" w:space="0"/>
              <w:left w:val="nil"/>
              <w:bottom w:val="single" w:color="auto" w:sz="8" w:space="0"/>
              <w:right w:val="single" w:color="auto" w:sz="8" w:space="0"/>
            </w:tcBorders>
            <w:tcMar>
              <w:top w:w="0" w:type="dxa"/>
              <w:left w:w="57" w:type="dxa"/>
              <w:bottom w:w="0" w:type="dxa"/>
              <w:right w:w="57" w:type="dxa"/>
            </w:tcMar>
            <w:vAlign w:val="center"/>
          </w:tcPr>
          <w:p w14:paraId="60D89BDB">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本年处理决定数量</w:t>
            </w:r>
          </w:p>
        </w:tc>
      </w:tr>
      <w:tr w14:paraId="7A74E840">
        <w:tblPrEx>
          <w:tblCellMar>
            <w:top w:w="0" w:type="dxa"/>
            <w:left w:w="0" w:type="dxa"/>
            <w:bottom w:w="0" w:type="dxa"/>
            <w:right w:w="0" w:type="dxa"/>
          </w:tblCellMar>
        </w:tblPrEx>
        <w:trPr>
          <w:trHeight w:val="552" w:hRule="atLeast"/>
          <w:jc w:val="center"/>
        </w:trPr>
        <w:tc>
          <w:tcPr>
            <w:tcW w:w="2577" w:type="dxa"/>
            <w:tcBorders>
              <w:top w:val="nil"/>
              <w:left w:val="single" w:color="auto" w:sz="8" w:space="0"/>
              <w:bottom w:val="single" w:color="auto" w:sz="8" w:space="0"/>
              <w:right w:val="single" w:color="auto" w:sz="8" w:space="0"/>
            </w:tcBorders>
            <w:tcMar>
              <w:top w:w="0" w:type="dxa"/>
              <w:left w:w="57" w:type="dxa"/>
              <w:bottom w:w="0" w:type="dxa"/>
              <w:right w:w="57" w:type="dxa"/>
            </w:tcMar>
            <w:vAlign w:val="center"/>
          </w:tcPr>
          <w:p w14:paraId="7AB055F7">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行政处罚</w:t>
            </w:r>
          </w:p>
        </w:tc>
        <w:tc>
          <w:tcPr>
            <w:tcW w:w="7263" w:type="dxa"/>
            <w:gridSpan w:val="3"/>
            <w:tcBorders>
              <w:top w:val="nil"/>
              <w:left w:val="nil"/>
              <w:bottom w:val="single" w:color="auto" w:sz="8" w:space="0"/>
              <w:right w:val="single" w:color="auto" w:sz="8" w:space="0"/>
            </w:tcBorders>
            <w:tcMar>
              <w:top w:w="0" w:type="dxa"/>
              <w:left w:w="57" w:type="dxa"/>
              <w:bottom w:w="0" w:type="dxa"/>
              <w:right w:w="57" w:type="dxa"/>
            </w:tcMar>
            <w:vAlign w:val="center"/>
          </w:tcPr>
          <w:p w14:paraId="178425D1">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364件</w:t>
            </w:r>
          </w:p>
        </w:tc>
      </w:tr>
      <w:tr w14:paraId="6FFEF1A2">
        <w:tblPrEx>
          <w:tblCellMar>
            <w:top w:w="0" w:type="dxa"/>
            <w:left w:w="0" w:type="dxa"/>
            <w:bottom w:w="0" w:type="dxa"/>
            <w:right w:w="0" w:type="dxa"/>
          </w:tblCellMar>
        </w:tblPrEx>
        <w:trPr>
          <w:trHeight w:val="552" w:hRule="atLeast"/>
          <w:jc w:val="center"/>
        </w:trPr>
        <w:tc>
          <w:tcPr>
            <w:tcW w:w="2577" w:type="dxa"/>
            <w:tcBorders>
              <w:top w:val="nil"/>
              <w:left w:val="single" w:color="auto" w:sz="8" w:space="0"/>
              <w:bottom w:val="single" w:color="auto" w:sz="8" w:space="0"/>
              <w:right w:val="single" w:color="auto" w:sz="8" w:space="0"/>
            </w:tcBorders>
            <w:tcMar>
              <w:top w:w="0" w:type="dxa"/>
              <w:left w:w="57" w:type="dxa"/>
              <w:bottom w:w="0" w:type="dxa"/>
              <w:right w:w="57" w:type="dxa"/>
            </w:tcMar>
            <w:vAlign w:val="center"/>
          </w:tcPr>
          <w:p w14:paraId="5CBD50F4">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行政强制</w:t>
            </w:r>
          </w:p>
        </w:tc>
        <w:tc>
          <w:tcPr>
            <w:tcW w:w="7263" w:type="dxa"/>
            <w:gridSpan w:val="3"/>
            <w:tcBorders>
              <w:top w:val="nil"/>
              <w:left w:val="nil"/>
              <w:bottom w:val="single" w:color="auto" w:sz="8" w:space="0"/>
              <w:right w:val="single" w:color="auto" w:sz="8" w:space="0"/>
            </w:tcBorders>
            <w:tcMar>
              <w:top w:w="0" w:type="dxa"/>
              <w:left w:w="57" w:type="dxa"/>
              <w:bottom w:w="0" w:type="dxa"/>
              <w:right w:w="57" w:type="dxa"/>
            </w:tcMar>
            <w:vAlign w:val="center"/>
          </w:tcPr>
          <w:p w14:paraId="3AD52B25">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0</w:t>
            </w:r>
          </w:p>
        </w:tc>
      </w:tr>
      <w:tr w14:paraId="776C7248">
        <w:tblPrEx>
          <w:tblCellMar>
            <w:top w:w="0" w:type="dxa"/>
            <w:left w:w="0" w:type="dxa"/>
            <w:bottom w:w="0" w:type="dxa"/>
            <w:right w:w="0" w:type="dxa"/>
          </w:tblCellMar>
        </w:tblPrEx>
        <w:trPr>
          <w:trHeight w:val="552" w:hRule="atLeast"/>
          <w:jc w:val="center"/>
        </w:trPr>
        <w:tc>
          <w:tcPr>
            <w:tcW w:w="9840" w:type="dxa"/>
            <w:gridSpan w:val="4"/>
            <w:tcBorders>
              <w:top w:val="nil"/>
              <w:left w:val="single" w:color="auto" w:sz="8" w:space="0"/>
              <w:bottom w:val="single" w:color="auto" w:sz="8" w:space="0"/>
              <w:right w:val="single" w:color="auto" w:sz="8" w:space="0"/>
            </w:tcBorders>
            <w:shd w:val="clear" w:color="auto" w:fill="C6D9F1"/>
            <w:tcMar>
              <w:top w:w="0" w:type="dxa"/>
              <w:left w:w="57" w:type="dxa"/>
              <w:bottom w:w="0" w:type="dxa"/>
              <w:right w:w="57" w:type="dxa"/>
            </w:tcMar>
            <w:vAlign w:val="center"/>
          </w:tcPr>
          <w:p w14:paraId="5CFB6B9A">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第二十条第（八）项</w:t>
            </w:r>
          </w:p>
        </w:tc>
      </w:tr>
      <w:tr w14:paraId="390A351D">
        <w:tblPrEx>
          <w:tblCellMar>
            <w:top w:w="0" w:type="dxa"/>
            <w:left w:w="0" w:type="dxa"/>
            <w:bottom w:w="0" w:type="dxa"/>
            <w:right w:w="0" w:type="dxa"/>
          </w:tblCellMar>
        </w:tblPrEx>
        <w:trPr>
          <w:trHeight w:val="552" w:hRule="atLeast"/>
          <w:jc w:val="center"/>
        </w:trPr>
        <w:tc>
          <w:tcPr>
            <w:tcW w:w="2577" w:type="dxa"/>
            <w:tcBorders>
              <w:top w:val="nil"/>
              <w:left w:val="single" w:color="auto" w:sz="8" w:space="0"/>
              <w:bottom w:val="single" w:color="auto" w:sz="8" w:space="0"/>
              <w:right w:val="single" w:color="auto" w:sz="8" w:space="0"/>
            </w:tcBorders>
            <w:tcMar>
              <w:top w:w="0" w:type="dxa"/>
              <w:left w:w="57" w:type="dxa"/>
              <w:bottom w:w="0" w:type="dxa"/>
              <w:right w:w="57" w:type="dxa"/>
            </w:tcMar>
            <w:vAlign w:val="center"/>
          </w:tcPr>
          <w:p w14:paraId="6BAE59ED">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信息内容</w:t>
            </w:r>
          </w:p>
        </w:tc>
        <w:tc>
          <w:tcPr>
            <w:tcW w:w="7263" w:type="dxa"/>
            <w:gridSpan w:val="3"/>
            <w:tcBorders>
              <w:top w:val="nil"/>
              <w:left w:val="nil"/>
              <w:bottom w:val="single" w:color="auto" w:sz="8" w:space="0"/>
              <w:right w:val="single" w:color="000000" w:sz="8" w:space="0"/>
            </w:tcBorders>
            <w:tcMar>
              <w:top w:w="0" w:type="dxa"/>
              <w:left w:w="57" w:type="dxa"/>
              <w:bottom w:w="0" w:type="dxa"/>
              <w:right w:w="57" w:type="dxa"/>
            </w:tcMar>
            <w:vAlign w:val="center"/>
          </w:tcPr>
          <w:p w14:paraId="6F773042">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本年收费金额（单位：万元）</w:t>
            </w:r>
          </w:p>
        </w:tc>
      </w:tr>
      <w:tr w14:paraId="56A85EB5">
        <w:tblPrEx>
          <w:tblCellMar>
            <w:top w:w="0" w:type="dxa"/>
            <w:left w:w="0" w:type="dxa"/>
            <w:bottom w:w="0" w:type="dxa"/>
            <w:right w:w="0" w:type="dxa"/>
          </w:tblCellMar>
        </w:tblPrEx>
        <w:trPr>
          <w:trHeight w:val="640" w:hRule="atLeast"/>
          <w:jc w:val="center"/>
        </w:trPr>
        <w:tc>
          <w:tcPr>
            <w:tcW w:w="2577" w:type="dxa"/>
            <w:tcBorders>
              <w:top w:val="nil"/>
              <w:left w:val="single" w:color="auto" w:sz="8" w:space="0"/>
              <w:bottom w:val="single" w:color="auto" w:sz="8" w:space="0"/>
              <w:right w:val="single" w:color="auto" w:sz="8" w:space="0"/>
            </w:tcBorders>
            <w:tcMar>
              <w:top w:w="0" w:type="dxa"/>
              <w:left w:w="57" w:type="dxa"/>
              <w:bottom w:w="0" w:type="dxa"/>
              <w:right w:w="57" w:type="dxa"/>
            </w:tcMar>
            <w:vAlign w:val="center"/>
          </w:tcPr>
          <w:p w14:paraId="3A3D506E">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行政事业性收费</w:t>
            </w:r>
          </w:p>
        </w:tc>
        <w:tc>
          <w:tcPr>
            <w:tcW w:w="7263" w:type="dxa"/>
            <w:gridSpan w:val="3"/>
            <w:tcBorders>
              <w:top w:val="nil"/>
              <w:left w:val="nil"/>
              <w:bottom w:val="single" w:color="auto" w:sz="8" w:space="0"/>
              <w:right w:val="single" w:color="000000" w:sz="8" w:space="0"/>
            </w:tcBorders>
            <w:tcMar>
              <w:top w:w="0" w:type="dxa"/>
              <w:left w:w="57" w:type="dxa"/>
              <w:bottom w:w="0" w:type="dxa"/>
              <w:right w:w="57" w:type="dxa"/>
            </w:tcMar>
            <w:vAlign w:val="center"/>
          </w:tcPr>
          <w:p w14:paraId="7E68D5CF">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7524.71</w:t>
            </w:r>
          </w:p>
        </w:tc>
      </w:tr>
    </w:tbl>
    <w:p w14:paraId="58FD9380">
      <w:pPr>
        <w:widowControl/>
        <w:shd w:val="clear" w:color="auto" w:fill="FFFFFF"/>
        <w:ind w:firstLine="480"/>
        <w:rPr>
          <w:rFonts w:hint="eastAsia" w:ascii="黑体" w:hAnsi="黑体" w:eastAsia="黑体" w:cs="黑体"/>
          <w:b w:val="0"/>
          <w:bCs w:val="0"/>
          <w:color w:val="333333"/>
          <w:kern w:val="0"/>
          <w:sz w:val="32"/>
          <w:szCs w:val="32"/>
        </w:rPr>
      </w:pPr>
      <w:r>
        <w:rPr>
          <w:rFonts w:hint="eastAsia" w:ascii="黑体" w:hAnsi="黑体" w:eastAsia="黑体" w:cs="黑体"/>
          <w:b w:val="0"/>
          <w:bCs w:val="0"/>
          <w:color w:val="333333"/>
          <w:kern w:val="0"/>
          <w:sz w:val="32"/>
          <w:szCs w:val="32"/>
        </w:rPr>
        <w:t>三、收到和处理政府信息公开申请情况</w:t>
      </w:r>
    </w:p>
    <w:tbl>
      <w:tblPr>
        <w:tblStyle w:val="7"/>
        <w:tblW w:w="979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40"/>
        <w:gridCol w:w="1040"/>
        <w:gridCol w:w="3665"/>
        <w:gridCol w:w="597"/>
        <w:gridCol w:w="570"/>
        <w:gridCol w:w="586"/>
        <w:gridCol w:w="599"/>
        <w:gridCol w:w="699"/>
        <w:gridCol w:w="562"/>
        <w:gridCol w:w="841"/>
      </w:tblGrid>
      <w:tr w14:paraId="63EB3F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345" w:type="dxa"/>
            <w:gridSpan w:val="3"/>
            <w:vMerge w:val="restart"/>
            <w:shd w:val="clear" w:color="auto" w:fill="auto"/>
            <w:tcMar>
              <w:left w:w="108" w:type="dxa"/>
              <w:right w:w="108" w:type="dxa"/>
            </w:tcMar>
            <w:vAlign w:val="center"/>
          </w:tcPr>
          <w:p w14:paraId="1CF0A122">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仿宋_GB2312" w:hAnsi="Times New Roman" w:eastAsia="仿宋_GB2312"/>
                <w:sz w:val="24"/>
                <w:szCs w:val="24"/>
              </w:rPr>
            </w:pPr>
            <w:r>
              <w:rPr>
                <w:rFonts w:hint="eastAsia" w:ascii="楷体_GB2312" w:hAnsi="黑体" w:eastAsia="楷体_GB2312"/>
                <w:kern w:val="0"/>
                <w:sz w:val="24"/>
                <w:szCs w:val="24"/>
              </w:rPr>
              <w:t>（本列数据的勾稽关系为：第一项加第二项之和，等于第三项加第四项之和）</w:t>
            </w:r>
          </w:p>
        </w:tc>
        <w:tc>
          <w:tcPr>
            <w:tcW w:w="4454" w:type="dxa"/>
            <w:gridSpan w:val="7"/>
            <w:shd w:val="clear" w:color="auto" w:fill="auto"/>
            <w:tcMar>
              <w:left w:w="108" w:type="dxa"/>
              <w:right w:w="108" w:type="dxa"/>
            </w:tcMar>
            <w:vAlign w:val="center"/>
          </w:tcPr>
          <w:p w14:paraId="3546394A">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黑体" w:hAnsi="黑体" w:eastAsia="黑体"/>
                <w:sz w:val="24"/>
                <w:szCs w:val="24"/>
              </w:rPr>
            </w:pPr>
            <w:r>
              <w:rPr>
                <w:rFonts w:hint="eastAsia" w:ascii="黑体" w:hAnsi="黑体" w:eastAsia="黑体"/>
                <w:kern w:val="0"/>
                <w:sz w:val="24"/>
                <w:szCs w:val="24"/>
              </w:rPr>
              <w:t>申请人情况</w:t>
            </w:r>
          </w:p>
        </w:tc>
      </w:tr>
      <w:tr w14:paraId="6D4539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345" w:type="dxa"/>
            <w:gridSpan w:val="3"/>
            <w:vMerge w:val="continue"/>
            <w:shd w:val="clear" w:color="auto" w:fill="auto"/>
            <w:tcMar>
              <w:left w:w="108" w:type="dxa"/>
              <w:right w:w="108" w:type="dxa"/>
            </w:tcMar>
            <w:vAlign w:val="center"/>
          </w:tcPr>
          <w:p w14:paraId="65292C01">
            <w:pPr>
              <w:keepNext w:val="0"/>
              <w:keepLines w:val="0"/>
              <w:pageBreakBefore w:val="0"/>
              <w:kinsoku/>
              <w:wordWrap/>
              <w:overflowPunct/>
              <w:topLinePunct w:val="0"/>
              <w:autoSpaceDE/>
              <w:autoSpaceDN/>
              <w:bidi w:val="0"/>
              <w:adjustRightInd/>
              <w:snapToGrid/>
              <w:spacing w:line="260" w:lineRule="exact"/>
              <w:jc w:val="center"/>
              <w:textAlignment w:val="auto"/>
              <w:rPr>
                <w:rFonts w:ascii="仿宋_GB2312" w:hAnsi="Times New Roman" w:eastAsia="仿宋_GB2312"/>
                <w:sz w:val="24"/>
                <w:szCs w:val="24"/>
              </w:rPr>
            </w:pPr>
          </w:p>
        </w:tc>
        <w:tc>
          <w:tcPr>
            <w:tcW w:w="597" w:type="dxa"/>
            <w:vMerge w:val="restart"/>
            <w:shd w:val="clear" w:color="auto" w:fill="auto"/>
            <w:tcMar>
              <w:left w:w="108" w:type="dxa"/>
              <w:right w:w="108" w:type="dxa"/>
            </w:tcMar>
            <w:vAlign w:val="center"/>
          </w:tcPr>
          <w:p w14:paraId="324C8ED5">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黑体" w:hAnsi="黑体" w:eastAsia="黑体"/>
                <w:sz w:val="24"/>
                <w:szCs w:val="24"/>
              </w:rPr>
            </w:pPr>
            <w:r>
              <w:rPr>
                <w:rFonts w:hint="eastAsia" w:ascii="黑体" w:hAnsi="黑体" w:eastAsia="黑体"/>
                <w:kern w:val="0"/>
                <w:sz w:val="24"/>
                <w:szCs w:val="24"/>
              </w:rPr>
              <w:t>自然人</w:t>
            </w:r>
          </w:p>
        </w:tc>
        <w:tc>
          <w:tcPr>
            <w:tcW w:w="3016" w:type="dxa"/>
            <w:gridSpan w:val="5"/>
            <w:shd w:val="clear" w:color="auto" w:fill="auto"/>
            <w:tcMar>
              <w:left w:w="108" w:type="dxa"/>
              <w:right w:w="108" w:type="dxa"/>
            </w:tcMar>
            <w:vAlign w:val="center"/>
          </w:tcPr>
          <w:p w14:paraId="4048397F">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黑体" w:hAnsi="黑体" w:eastAsia="黑体"/>
                <w:sz w:val="24"/>
                <w:szCs w:val="24"/>
              </w:rPr>
            </w:pPr>
            <w:r>
              <w:rPr>
                <w:rFonts w:hint="eastAsia" w:ascii="黑体" w:hAnsi="黑体" w:eastAsia="黑体"/>
                <w:kern w:val="0"/>
                <w:sz w:val="24"/>
                <w:szCs w:val="24"/>
              </w:rPr>
              <w:t>法人或其他组织</w:t>
            </w:r>
          </w:p>
        </w:tc>
        <w:tc>
          <w:tcPr>
            <w:tcW w:w="841" w:type="dxa"/>
            <w:vMerge w:val="restart"/>
            <w:shd w:val="clear" w:color="auto" w:fill="auto"/>
            <w:tcMar>
              <w:left w:w="108" w:type="dxa"/>
              <w:right w:w="108" w:type="dxa"/>
            </w:tcMar>
            <w:vAlign w:val="center"/>
          </w:tcPr>
          <w:p w14:paraId="7F378D7F">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ascii="黑体" w:hAnsi="黑体" w:eastAsia="黑体"/>
                <w:sz w:val="24"/>
                <w:szCs w:val="24"/>
              </w:rPr>
            </w:pPr>
            <w:r>
              <w:rPr>
                <w:rFonts w:hint="eastAsia" w:ascii="黑体" w:hAnsi="黑体" w:eastAsia="黑体"/>
                <w:kern w:val="0"/>
                <w:sz w:val="24"/>
                <w:szCs w:val="24"/>
              </w:rPr>
              <w:t>总计</w:t>
            </w:r>
          </w:p>
        </w:tc>
      </w:tr>
      <w:tr w14:paraId="61CDD2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345" w:type="dxa"/>
            <w:gridSpan w:val="3"/>
            <w:vMerge w:val="continue"/>
            <w:shd w:val="clear" w:color="auto" w:fill="auto"/>
            <w:tcMar>
              <w:left w:w="108" w:type="dxa"/>
              <w:right w:w="108" w:type="dxa"/>
            </w:tcMar>
            <w:vAlign w:val="center"/>
          </w:tcPr>
          <w:p w14:paraId="41E471B3">
            <w:pPr>
              <w:keepNext w:val="0"/>
              <w:keepLines w:val="0"/>
              <w:pageBreakBefore w:val="0"/>
              <w:kinsoku/>
              <w:wordWrap/>
              <w:overflowPunct/>
              <w:topLinePunct w:val="0"/>
              <w:autoSpaceDE/>
              <w:autoSpaceDN/>
              <w:bidi w:val="0"/>
              <w:adjustRightInd/>
              <w:snapToGrid/>
              <w:spacing w:line="260" w:lineRule="exact"/>
              <w:jc w:val="center"/>
              <w:textAlignment w:val="auto"/>
              <w:rPr>
                <w:rFonts w:ascii="仿宋_GB2312" w:hAnsi="Times New Roman" w:eastAsia="仿宋_GB2312"/>
                <w:sz w:val="24"/>
                <w:szCs w:val="24"/>
              </w:rPr>
            </w:pPr>
          </w:p>
        </w:tc>
        <w:tc>
          <w:tcPr>
            <w:tcW w:w="597" w:type="dxa"/>
            <w:vMerge w:val="continue"/>
            <w:shd w:val="clear" w:color="auto" w:fill="auto"/>
            <w:tcMar>
              <w:left w:w="108" w:type="dxa"/>
              <w:right w:w="108" w:type="dxa"/>
            </w:tcMar>
            <w:vAlign w:val="center"/>
          </w:tcPr>
          <w:p w14:paraId="34ACA239">
            <w:pPr>
              <w:keepNext w:val="0"/>
              <w:keepLines w:val="0"/>
              <w:pageBreakBefore w:val="0"/>
              <w:kinsoku/>
              <w:wordWrap/>
              <w:overflowPunct/>
              <w:topLinePunct w:val="0"/>
              <w:autoSpaceDE/>
              <w:autoSpaceDN/>
              <w:bidi w:val="0"/>
              <w:adjustRightInd/>
              <w:snapToGrid/>
              <w:spacing w:line="260" w:lineRule="exact"/>
              <w:jc w:val="center"/>
              <w:textAlignment w:val="auto"/>
              <w:rPr>
                <w:rFonts w:ascii="黑体" w:hAnsi="黑体" w:eastAsia="黑体"/>
                <w:sz w:val="24"/>
                <w:szCs w:val="24"/>
              </w:rPr>
            </w:pPr>
          </w:p>
        </w:tc>
        <w:tc>
          <w:tcPr>
            <w:tcW w:w="570" w:type="dxa"/>
            <w:shd w:val="clear" w:color="auto" w:fill="auto"/>
            <w:tcMar>
              <w:left w:w="108" w:type="dxa"/>
              <w:right w:w="108" w:type="dxa"/>
            </w:tcMar>
            <w:vAlign w:val="center"/>
          </w:tcPr>
          <w:p w14:paraId="6FB64C01">
            <w:pPr>
              <w:keepNext w:val="0"/>
              <w:keepLines w:val="0"/>
              <w:pageBreakBefore w:val="0"/>
              <w:widowControl/>
              <w:kinsoku/>
              <w:wordWrap/>
              <w:overflowPunct/>
              <w:topLinePunct w:val="0"/>
              <w:autoSpaceDE/>
              <w:autoSpaceDN/>
              <w:bidi w:val="0"/>
              <w:adjustRightInd/>
              <w:snapToGrid/>
              <w:spacing w:line="260" w:lineRule="exact"/>
              <w:ind w:left="-106" w:leftChars="-51" w:right="-107" w:rightChars="-51" w:hanging="1"/>
              <w:jc w:val="center"/>
              <w:textAlignment w:val="auto"/>
              <w:rPr>
                <w:rFonts w:ascii="黑体" w:hAnsi="黑体" w:eastAsia="黑体"/>
                <w:sz w:val="24"/>
                <w:szCs w:val="24"/>
              </w:rPr>
            </w:pPr>
            <w:r>
              <w:rPr>
                <w:rFonts w:hint="eastAsia" w:ascii="黑体" w:hAnsi="黑体" w:eastAsia="黑体"/>
                <w:kern w:val="0"/>
                <w:sz w:val="24"/>
                <w:szCs w:val="24"/>
              </w:rPr>
              <w:t>商业企业</w:t>
            </w:r>
          </w:p>
        </w:tc>
        <w:tc>
          <w:tcPr>
            <w:tcW w:w="586" w:type="dxa"/>
            <w:shd w:val="clear" w:color="auto" w:fill="auto"/>
            <w:tcMar>
              <w:left w:w="108" w:type="dxa"/>
              <w:right w:w="108" w:type="dxa"/>
            </w:tcMar>
            <w:vAlign w:val="center"/>
          </w:tcPr>
          <w:p w14:paraId="2A526AE9">
            <w:pPr>
              <w:keepNext w:val="0"/>
              <w:keepLines w:val="0"/>
              <w:pageBreakBefore w:val="0"/>
              <w:widowControl/>
              <w:kinsoku/>
              <w:wordWrap/>
              <w:overflowPunct/>
              <w:topLinePunct w:val="0"/>
              <w:autoSpaceDE/>
              <w:autoSpaceDN/>
              <w:bidi w:val="0"/>
              <w:adjustRightInd/>
              <w:snapToGrid/>
              <w:spacing w:line="260" w:lineRule="exact"/>
              <w:ind w:left="-107" w:leftChars="-51" w:right="-107" w:rightChars="-51"/>
              <w:jc w:val="center"/>
              <w:textAlignment w:val="auto"/>
              <w:rPr>
                <w:rFonts w:ascii="黑体" w:hAnsi="黑体" w:eastAsia="黑体"/>
                <w:sz w:val="24"/>
                <w:szCs w:val="24"/>
              </w:rPr>
            </w:pPr>
            <w:r>
              <w:rPr>
                <w:rFonts w:hint="eastAsia" w:ascii="黑体" w:hAnsi="黑体" w:eastAsia="黑体"/>
                <w:kern w:val="0"/>
                <w:sz w:val="24"/>
                <w:szCs w:val="24"/>
              </w:rPr>
              <w:t>科研机构</w:t>
            </w:r>
          </w:p>
        </w:tc>
        <w:tc>
          <w:tcPr>
            <w:tcW w:w="599" w:type="dxa"/>
            <w:shd w:val="clear" w:color="auto" w:fill="auto"/>
            <w:tcMar>
              <w:left w:w="108" w:type="dxa"/>
              <w:right w:w="108" w:type="dxa"/>
            </w:tcMar>
            <w:vAlign w:val="center"/>
          </w:tcPr>
          <w:p w14:paraId="3312CB69">
            <w:pPr>
              <w:keepNext w:val="0"/>
              <w:keepLines w:val="0"/>
              <w:pageBreakBefore w:val="0"/>
              <w:widowControl/>
              <w:kinsoku/>
              <w:wordWrap/>
              <w:overflowPunct/>
              <w:topLinePunct w:val="0"/>
              <w:autoSpaceDE/>
              <w:autoSpaceDN/>
              <w:bidi w:val="0"/>
              <w:adjustRightInd/>
              <w:snapToGrid/>
              <w:spacing w:line="260" w:lineRule="exact"/>
              <w:ind w:left="-107" w:leftChars="-51" w:right="-107" w:rightChars="-51"/>
              <w:jc w:val="center"/>
              <w:textAlignment w:val="auto"/>
              <w:rPr>
                <w:rFonts w:ascii="黑体" w:hAnsi="黑体" w:eastAsia="黑体"/>
                <w:sz w:val="24"/>
                <w:szCs w:val="24"/>
              </w:rPr>
            </w:pPr>
            <w:r>
              <w:rPr>
                <w:rFonts w:hint="eastAsia" w:ascii="黑体" w:hAnsi="黑体" w:eastAsia="黑体"/>
                <w:kern w:val="0"/>
                <w:sz w:val="24"/>
                <w:szCs w:val="24"/>
              </w:rPr>
              <w:t>社会公益组织</w:t>
            </w:r>
          </w:p>
        </w:tc>
        <w:tc>
          <w:tcPr>
            <w:tcW w:w="699" w:type="dxa"/>
            <w:shd w:val="clear" w:color="auto" w:fill="auto"/>
            <w:tcMar>
              <w:left w:w="108" w:type="dxa"/>
              <w:right w:w="108" w:type="dxa"/>
            </w:tcMar>
            <w:vAlign w:val="center"/>
          </w:tcPr>
          <w:p w14:paraId="7F12013A">
            <w:pPr>
              <w:keepNext w:val="0"/>
              <w:keepLines w:val="0"/>
              <w:pageBreakBefore w:val="0"/>
              <w:widowControl/>
              <w:kinsoku/>
              <w:wordWrap/>
              <w:overflowPunct/>
              <w:topLinePunct w:val="0"/>
              <w:autoSpaceDE/>
              <w:autoSpaceDN/>
              <w:bidi w:val="0"/>
              <w:adjustRightInd/>
              <w:snapToGrid/>
              <w:spacing w:line="260" w:lineRule="exact"/>
              <w:ind w:left="-106" w:leftChars="-51" w:right="-107" w:rightChars="-51" w:hanging="1"/>
              <w:jc w:val="center"/>
              <w:textAlignment w:val="auto"/>
              <w:rPr>
                <w:rFonts w:ascii="黑体" w:hAnsi="黑体" w:eastAsia="黑体"/>
                <w:sz w:val="24"/>
                <w:szCs w:val="24"/>
              </w:rPr>
            </w:pPr>
            <w:r>
              <w:rPr>
                <w:rFonts w:hint="eastAsia" w:ascii="黑体" w:hAnsi="黑体" w:eastAsia="黑体"/>
                <w:kern w:val="0"/>
                <w:sz w:val="24"/>
                <w:szCs w:val="24"/>
              </w:rPr>
              <w:t>法律服务机构</w:t>
            </w:r>
          </w:p>
        </w:tc>
        <w:tc>
          <w:tcPr>
            <w:tcW w:w="562" w:type="dxa"/>
            <w:shd w:val="clear" w:color="auto" w:fill="auto"/>
            <w:tcMar>
              <w:left w:w="108" w:type="dxa"/>
              <w:right w:w="108" w:type="dxa"/>
            </w:tcMar>
            <w:vAlign w:val="center"/>
          </w:tcPr>
          <w:p w14:paraId="092BFCB7">
            <w:pPr>
              <w:keepNext w:val="0"/>
              <w:keepLines w:val="0"/>
              <w:pageBreakBefore w:val="0"/>
              <w:widowControl/>
              <w:kinsoku/>
              <w:wordWrap/>
              <w:overflowPunct/>
              <w:topLinePunct w:val="0"/>
              <w:autoSpaceDE/>
              <w:autoSpaceDN/>
              <w:bidi w:val="0"/>
              <w:adjustRightInd/>
              <w:snapToGrid/>
              <w:spacing w:line="260" w:lineRule="exact"/>
              <w:ind w:left="-63" w:leftChars="-30" w:right="-134" w:rightChars="-64"/>
              <w:jc w:val="center"/>
              <w:textAlignment w:val="auto"/>
              <w:rPr>
                <w:rFonts w:ascii="黑体" w:hAnsi="黑体" w:eastAsia="黑体"/>
                <w:sz w:val="24"/>
                <w:szCs w:val="24"/>
              </w:rPr>
            </w:pPr>
            <w:r>
              <w:rPr>
                <w:rFonts w:hint="eastAsia" w:ascii="黑体" w:hAnsi="黑体" w:eastAsia="黑体"/>
                <w:kern w:val="0"/>
                <w:sz w:val="24"/>
                <w:szCs w:val="24"/>
              </w:rPr>
              <w:t>其他</w:t>
            </w:r>
          </w:p>
        </w:tc>
        <w:tc>
          <w:tcPr>
            <w:tcW w:w="841" w:type="dxa"/>
            <w:vMerge w:val="continue"/>
            <w:shd w:val="clear" w:color="auto" w:fill="auto"/>
            <w:tcMar>
              <w:left w:w="108" w:type="dxa"/>
              <w:right w:w="108" w:type="dxa"/>
            </w:tcMar>
            <w:vAlign w:val="center"/>
          </w:tcPr>
          <w:p w14:paraId="159C59AE">
            <w:pPr>
              <w:keepNext w:val="0"/>
              <w:keepLines w:val="0"/>
              <w:pageBreakBefore w:val="0"/>
              <w:kinsoku/>
              <w:wordWrap/>
              <w:overflowPunct/>
              <w:topLinePunct w:val="0"/>
              <w:autoSpaceDE/>
              <w:autoSpaceDN/>
              <w:bidi w:val="0"/>
              <w:adjustRightInd/>
              <w:snapToGrid/>
              <w:spacing w:line="260" w:lineRule="exact"/>
              <w:jc w:val="center"/>
              <w:textAlignment w:val="auto"/>
              <w:rPr>
                <w:rFonts w:ascii="仿宋_GB2312" w:hAnsi="Times New Roman" w:eastAsia="仿宋_GB2312"/>
                <w:sz w:val="24"/>
                <w:szCs w:val="24"/>
              </w:rPr>
            </w:pPr>
          </w:p>
        </w:tc>
      </w:tr>
      <w:tr w14:paraId="06979F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345" w:type="dxa"/>
            <w:gridSpan w:val="3"/>
            <w:shd w:val="clear" w:color="auto" w:fill="auto"/>
            <w:tcMar>
              <w:left w:w="108" w:type="dxa"/>
              <w:right w:w="108" w:type="dxa"/>
            </w:tcMar>
            <w:vAlign w:val="center"/>
          </w:tcPr>
          <w:p w14:paraId="3169B5C2">
            <w:pPr>
              <w:keepNext w:val="0"/>
              <w:keepLines w:val="0"/>
              <w:pageBreakBefore w:val="0"/>
              <w:widowControl/>
              <w:kinsoku/>
              <w:wordWrap/>
              <w:overflowPunct/>
              <w:topLinePunct w:val="0"/>
              <w:autoSpaceDE/>
              <w:autoSpaceDN/>
              <w:bidi w:val="0"/>
              <w:adjustRightInd/>
              <w:snapToGrid/>
              <w:spacing w:line="260" w:lineRule="exact"/>
              <w:textAlignment w:val="auto"/>
              <w:rPr>
                <w:rFonts w:ascii="黑体" w:hAnsi="黑体" w:eastAsia="黑体"/>
                <w:sz w:val="24"/>
                <w:szCs w:val="24"/>
              </w:rPr>
            </w:pPr>
            <w:r>
              <w:rPr>
                <w:rFonts w:hint="eastAsia" w:ascii="黑体" w:hAnsi="黑体" w:eastAsia="黑体"/>
                <w:kern w:val="0"/>
                <w:sz w:val="24"/>
                <w:szCs w:val="24"/>
              </w:rPr>
              <w:t>一、</w:t>
            </w:r>
            <w:bookmarkStart w:id="3" w:name="_Hlk66973412"/>
            <w:r>
              <w:rPr>
                <w:rFonts w:hint="eastAsia" w:ascii="黑体" w:hAnsi="黑体" w:eastAsia="黑体"/>
                <w:kern w:val="0"/>
                <w:sz w:val="24"/>
                <w:szCs w:val="24"/>
              </w:rPr>
              <w:t>本年新收政府信息公开申请数量</w:t>
            </w:r>
            <w:bookmarkEnd w:id="3"/>
          </w:p>
        </w:tc>
        <w:tc>
          <w:tcPr>
            <w:tcW w:w="597" w:type="dxa"/>
            <w:shd w:val="clear" w:color="auto" w:fill="auto"/>
            <w:tcMar>
              <w:left w:w="108" w:type="dxa"/>
              <w:right w:w="108" w:type="dxa"/>
            </w:tcMar>
            <w:vAlign w:val="center"/>
          </w:tcPr>
          <w:p w14:paraId="2D5D078B">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50</w:t>
            </w:r>
          </w:p>
        </w:tc>
        <w:tc>
          <w:tcPr>
            <w:tcW w:w="570" w:type="dxa"/>
            <w:shd w:val="clear" w:color="auto" w:fill="auto"/>
            <w:tcMar>
              <w:left w:w="108" w:type="dxa"/>
              <w:right w:w="108" w:type="dxa"/>
            </w:tcMar>
            <w:vAlign w:val="center"/>
          </w:tcPr>
          <w:p w14:paraId="6381A73D">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86" w:type="dxa"/>
            <w:shd w:val="clear" w:color="auto" w:fill="auto"/>
            <w:tcMar>
              <w:left w:w="108" w:type="dxa"/>
              <w:right w:w="108" w:type="dxa"/>
            </w:tcMar>
            <w:vAlign w:val="center"/>
          </w:tcPr>
          <w:p w14:paraId="222E500E">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99" w:type="dxa"/>
            <w:shd w:val="clear" w:color="auto" w:fill="auto"/>
            <w:tcMar>
              <w:left w:w="108" w:type="dxa"/>
              <w:right w:w="108" w:type="dxa"/>
            </w:tcMar>
            <w:vAlign w:val="center"/>
          </w:tcPr>
          <w:p w14:paraId="08C5970E">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699" w:type="dxa"/>
            <w:shd w:val="clear" w:color="auto" w:fill="auto"/>
            <w:tcMar>
              <w:left w:w="108" w:type="dxa"/>
              <w:right w:w="108" w:type="dxa"/>
            </w:tcMar>
            <w:vAlign w:val="center"/>
          </w:tcPr>
          <w:p w14:paraId="52766CF4">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62" w:type="dxa"/>
            <w:shd w:val="clear" w:color="auto" w:fill="auto"/>
            <w:tcMar>
              <w:left w:w="108" w:type="dxa"/>
              <w:right w:w="108" w:type="dxa"/>
            </w:tcMar>
            <w:vAlign w:val="center"/>
          </w:tcPr>
          <w:p w14:paraId="3967D28E">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841" w:type="dxa"/>
            <w:shd w:val="clear" w:color="auto" w:fill="auto"/>
            <w:tcMar>
              <w:left w:w="108" w:type="dxa"/>
              <w:right w:w="108" w:type="dxa"/>
            </w:tcMar>
            <w:vAlign w:val="center"/>
          </w:tcPr>
          <w:p w14:paraId="3238C75C">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50</w:t>
            </w:r>
          </w:p>
        </w:tc>
      </w:tr>
      <w:tr w14:paraId="3F12B7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345" w:type="dxa"/>
            <w:gridSpan w:val="3"/>
            <w:shd w:val="clear" w:color="auto" w:fill="auto"/>
            <w:tcMar>
              <w:left w:w="108" w:type="dxa"/>
              <w:right w:w="108" w:type="dxa"/>
            </w:tcMar>
            <w:vAlign w:val="center"/>
          </w:tcPr>
          <w:p w14:paraId="0A6C18A5">
            <w:pPr>
              <w:keepNext w:val="0"/>
              <w:keepLines w:val="0"/>
              <w:pageBreakBefore w:val="0"/>
              <w:widowControl/>
              <w:kinsoku/>
              <w:wordWrap/>
              <w:overflowPunct/>
              <w:topLinePunct w:val="0"/>
              <w:autoSpaceDE/>
              <w:autoSpaceDN/>
              <w:bidi w:val="0"/>
              <w:adjustRightInd/>
              <w:snapToGrid/>
              <w:spacing w:line="260" w:lineRule="exact"/>
              <w:textAlignment w:val="auto"/>
              <w:rPr>
                <w:rFonts w:ascii="黑体" w:hAnsi="黑体" w:eastAsia="黑体"/>
                <w:sz w:val="24"/>
                <w:szCs w:val="24"/>
              </w:rPr>
            </w:pPr>
            <w:r>
              <w:rPr>
                <w:rFonts w:hint="eastAsia" w:ascii="黑体" w:hAnsi="黑体" w:eastAsia="黑体"/>
                <w:kern w:val="0"/>
                <w:sz w:val="24"/>
                <w:szCs w:val="24"/>
              </w:rPr>
              <w:t>二、上年结转政府信息公开申请数量</w:t>
            </w:r>
          </w:p>
        </w:tc>
        <w:tc>
          <w:tcPr>
            <w:tcW w:w="597" w:type="dxa"/>
            <w:shd w:val="clear" w:color="auto" w:fill="auto"/>
            <w:tcMar>
              <w:left w:w="108" w:type="dxa"/>
              <w:right w:w="108" w:type="dxa"/>
            </w:tcMar>
            <w:vAlign w:val="center"/>
          </w:tcPr>
          <w:p w14:paraId="22D11EBA">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8</w:t>
            </w:r>
          </w:p>
        </w:tc>
        <w:tc>
          <w:tcPr>
            <w:tcW w:w="570" w:type="dxa"/>
            <w:shd w:val="clear" w:color="auto" w:fill="auto"/>
            <w:tcMar>
              <w:left w:w="108" w:type="dxa"/>
              <w:right w:w="108" w:type="dxa"/>
            </w:tcMar>
            <w:vAlign w:val="center"/>
          </w:tcPr>
          <w:p w14:paraId="6598464C">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86" w:type="dxa"/>
            <w:shd w:val="clear" w:color="auto" w:fill="auto"/>
            <w:tcMar>
              <w:left w:w="108" w:type="dxa"/>
              <w:right w:w="108" w:type="dxa"/>
            </w:tcMar>
            <w:vAlign w:val="center"/>
          </w:tcPr>
          <w:p w14:paraId="4DDCB3DD">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99" w:type="dxa"/>
            <w:shd w:val="clear" w:color="auto" w:fill="auto"/>
            <w:tcMar>
              <w:left w:w="108" w:type="dxa"/>
              <w:right w:w="108" w:type="dxa"/>
            </w:tcMar>
            <w:vAlign w:val="center"/>
          </w:tcPr>
          <w:p w14:paraId="07BE3F98">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699" w:type="dxa"/>
            <w:shd w:val="clear" w:color="auto" w:fill="auto"/>
            <w:tcMar>
              <w:left w:w="108" w:type="dxa"/>
              <w:right w:w="108" w:type="dxa"/>
            </w:tcMar>
            <w:vAlign w:val="center"/>
          </w:tcPr>
          <w:p w14:paraId="63EB8A59">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62" w:type="dxa"/>
            <w:shd w:val="clear" w:color="auto" w:fill="auto"/>
            <w:tcMar>
              <w:left w:w="108" w:type="dxa"/>
              <w:right w:w="108" w:type="dxa"/>
            </w:tcMar>
            <w:vAlign w:val="center"/>
          </w:tcPr>
          <w:p w14:paraId="7A004FF6">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841" w:type="dxa"/>
            <w:shd w:val="clear" w:color="auto" w:fill="auto"/>
            <w:tcMar>
              <w:left w:w="108" w:type="dxa"/>
              <w:right w:w="108" w:type="dxa"/>
            </w:tcMar>
            <w:vAlign w:val="center"/>
          </w:tcPr>
          <w:p w14:paraId="6BCC3CE9">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8</w:t>
            </w:r>
          </w:p>
        </w:tc>
      </w:tr>
      <w:tr w14:paraId="72FB3B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40" w:type="dxa"/>
            <w:vMerge w:val="restart"/>
            <w:shd w:val="clear" w:color="auto" w:fill="auto"/>
            <w:tcMar>
              <w:left w:w="108" w:type="dxa"/>
              <w:right w:w="108" w:type="dxa"/>
            </w:tcMar>
            <w:vAlign w:val="center"/>
          </w:tcPr>
          <w:p w14:paraId="1C60BD31">
            <w:pPr>
              <w:keepNext w:val="0"/>
              <w:keepLines w:val="0"/>
              <w:pageBreakBefore w:val="0"/>
              <w:widowControl/>
              <w:kinsoku/>
              <w:wordWrap/>
              <w:overflowPunct/>
              <w:topLinePunct w:val="0"/>
              <w:autoSpaceDE/>
              <w:autoSpaceDN/>
              <w:bidi w:val="0"/>
              <w:adjustRightInd/>
              <w:snapToGrid/>
              <w:spacing w:after="180" w:line="260" w:lineRule="exact"/>
              <w:textAlignment w:val="auto"/>
              <w:rPr>
                <w:rFonts w:ascii="黑体" w:hAnsi="黑体" w:eastAsia="黑体"/>
                <w:sz w:val="24"/>
                <w:szCs w:val="24"/>
              </w:rPr>
            </w:pPr>
            <w:r>
              <w:rPr>
                <w:rFonts w:hint="eastAsia" w:ascii="黑体" w:hAnsi="黑体" w:eastAsia="黑体"/>
                <w:kern w:val="0"/>
                <w:sz w:val="24"/>
                <w:szCs w:val="24"/>
              </w:rPr>
              <w:t>三、本年度办理结果</w:t>
            </w:r>
          </w:p>
        </w:tc>
        <w:tc>
          <w:tcPr>
            <w:tcW w:w="4705" w:type="dxa"/>
            <w:gridSpan w:val="2"/>
            <w:shd w:val="clear" w:color="auto" w:fill="auto"/>
            <w:tcMar>
              <w:left w:w="108" w:type="dxa"/>
              <w:right w:w="108" w:type="dxa"/>
            </w:tcMar>
            <w:vAlign w:val="center"/>
          </w:tcPr>
          <w:p w14:paraId="4539ECD9">
            <w:pPr>
              <w:keepNext w:val="0"/>
              <w:keepLines w:val="0"/>
              <w:pageBreakBefore w:val="0"/>
              <w:widowControl/>
              <w:kinsoku/>
              <w:wordWrap/>
              <w:overflowPunct/>
              <w:topLinePunct w:val="0"/>
              <w:autoSpaceDE/>
              <w:autoSpaceDN/>
              <w:bidi w:val="0"/>
              <w:adjustRightInd/>
              <w:snapToGrid/>
              <w:spacing w:line="260" w:lineRule="exact"/>
              <w:textAlignment w:val="auto"/>
              <w:rPr>
                <w:rFonts w:ascii="黑体" w:hAnsi="黑体" w:eastAsia="黑体"/>
                <w:sz w:val="24"/>
                <w:szCs w:val="24"/>
              </w:rPr>
            </w:pPr>
            <w:r>
              <w:rPr>
                <w:rFonts w:hint="eastAsia" w:ascii="黑体" w:hAnsi="黑体" w:eastAsia="黑体"/>
                <w:kern w:val="0"/>
                <w:sz w:val="24"/>
                <w:szCs w:val="24"/>
              </w:rPr>
              <w:t>（一）予以公开</w:t>
            </w:r>
          </w:p>
        </w:tc>
        <w:tc>
          <w:tcPr>
            <w:tcW w:w="597" w:type="dxa"/>
            <w:shd w:val="clear" w:color="auto" w:fill="auto"/>
            <w:tcMar>
              <w:left w:w="108" w:type="dxa"/>
              <w:right w:w="108" w:type="dxa"/>
            </w:tcMar>
            <w:vAlign w:val="center"/>
          </w:tcPr>
          <w:p w14:paraId="08D9D0FB">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12</w:t>
            </w:r>
          </w:p>
        </w:tc>
        <w:tc>
          <w:tcPr>
            <w:tcW w:w="570" w:type="dxa"/>
            <w:shd w:val="clear" w:color="auto" w:fill="auto"/>
            <w:tcMar>
              <w:left w:w="108" w:type="dxa"/>
              <w:right w:w="108" w:type="dxa"/>
            </w:tcMar>
            <w:vAlign w:val="center"/>
          </w:tcPr>
          <w:p w14:paraId="0D75C79F">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86" w:type="dxa"/>
            <w:shd w:val="clear" w:color="auto" w:fill="auto"/>
            <w:tcMar>
              <w:left w:w="108" w:type="dxa"/>
              <w:right w:w="108" w:type="dxa"/>
            </w:tcMar>
            <w:vAlign w:val="center"/>
          </w:tcPr>
          <w:p w14:paraId="5921E949">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99" w:type="dxa"/>
            <w:shd w:val="clear" w:color="auto" w:fill="auto"/>
            <w:tcMar>
              <w:left w:w="108" w:type="dxa"/>
              <w:right w:w="108" w:type="dxa"/>
            </w:tcMar>
            <w:vAlign w:val="center"/>
          </w:tcPr>
          <w:p w14:paraId="55305E6F">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699" w:type="dxa"/>
            <w:shd w:val="clear" w:color="auto" w:fill="auto"/>
            <w:tcMar>
              <w:left w:w="108" w:type="dxa"/>
              <w:right w:w="108" w:type="dxa"/>
            </w:tcMar>
            <w:vAlign w:val="center"/>
          </w:tcPr>
          <w:p w14:paraId="625F3806">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62" w:type="dxa"/>
            <w:shd w:val="clear" w:color="auto" w:fill="auto"/>
            <w:tcMar>
              <w:left w:w="108" w:type="dxa"/>
              <w:right w:w="108" w:type="dxa"/>
            </w:tcMar>
            <w:vAlign w:val="center"/>
          </w:tcPr>
          <w:p w14:paraId="1C704E02">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841" w:type="dxa"/>
            <w:shd w:val="clear" w:color="auto" w:fill="auto"/>
            <w:tcMar>
              <w:left w:w="108" w:type="dxa"/>
              <w:right w:w="108" w:type="dxa"/>
            </w:tcMar>
            <w:vAlign w:val="center"/>
          </w:tcPr>
          <w:p w14:paraId="74C496A2">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12</w:t>
            </w:r>
          </w:p>
        </w:tc>
      </w:tr>
      <w:tr w14:paraId="193538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40" w:type="dxa"/>
            <w:vMerge w:val="continue"/>
            <w:shd w:val="clear" w:color="auto" w:fill="auto"/>
            <w:tcMar>
              <w:left w:w="108" w:type="dxa"/>
              <w:right w:w="108" w:type="dxa"/>
            </w:tcMar>
            <w:vAlign w:val="center"/>
          </w:tcPr>
          <w:p w14:paraId="3A45FFF2">
            <w:pPr>
              <w:keepNext w:val="0"/>
              <w:keepLines w:val="0"/>
              <w:pageBreakBefore w:val="0"/>
              <w:kinsoku/>
              <w:wordWrap/>
              <w:overflowPunct/>
              <w:topLinePunct w:val="0"/>
              <w:autoSpaceDE/>
              <w:autoSpaceDN/>
              <w:bidi w:val="0"/>
              <w:adjustRightInd/>
              <w:snapToGrid/>
              <w:spacing w:line="260" w:lineRule="exact"/>
              <w:textAlignment w:val="auto"/>
              <w:rPr>
                <w:rFonts w:ascii="黑体" w:hAnsi="黑体" w:eastAsia="黑体"/>
                <w:sz w:val="24"/>
                <w:szCs w:val="24"/>
              </w:rPr>
            </w:pPr>
          </w:p>
        </w:tc>
        <w:tc>
          <w:tcPr>
            <w:tcW w:w="4705" w:type="dxa"/>
            <w:gridSpan w:val="2"/>
            <w:shd w:val="clear" w:color="auto" w:fill="auto"/>
            <w:tcMar>
              <w:left w:w="108" w:type="dxa"/>
              <w:right w:w="108" w:type="dxa"/>
            </w:tcMar>
            <w:vAlign w:val="center"/>
          </w:tcPr>
          <w:p w14:paraId="21D46064">
            <w:pPr>
              <w:keepNext w:val="0"/>
              <w:keepLines w:val="0"/>
              <w:pageBreakBefore w:val="0"/>
              <w:widowControl/>
              <w:kinsoku/>
              <w:wordWrap/>
              <w:overflowPunct/>
              <w:topLinePunct w:val="0"/>
              <w:autoSpaceDE/>
              <w:autoSpaceDN/>
              <w:bidi w:val="0"/>
              <w:adjustRightInd/>
              <w:snapToGrid/>
              <w:spacing w:line="260" w:lineRule="exact"/>
              <w:textAlignment w:val="auto"/>
              <w:rPr>
                <w:rFonts w:ascii="黑体" w:hAnsi="黑体" w:eastAsia="黑体"/>
                <w:sz w:val="24"/>
                <w:szCs w:val="24"/>
              </w:rPr>
            </w:pPr>
            <w:r>
              <w:rPr>
                <w:rFonts w:hint="eastAsia" w:ascii="黑体" w:hAnsi="黑体" w:eastAsia="黑体"/>
                <w:kern w:val="0"/>
                <w:sz w:val="24"/>
                <w:szCs w:val="24"/>
              </w:rPr>
              <w:t>（二）部分公开（</w:t>
            </w:r>
            <w:bookmarkStart w:id="4" w:name="_Hlk66973981"/>
            <w:r>
              <w:rPr>
                <w:rFonts w:hint="eastAsia" w:ascii="黑体" w:hAnsi="黑体" w:eastAsia="黑体"/>
                <w:kern w:val="0"/>
                <w:sz w:val="24"/>
                <w:szCs w:val="24"/>
              </w:rPr>
              <w:t>区分处理的，只计这一情形，不计其他情形</w:t>
            </w:r>
            <w:bookmarkEnd w:id="4"/>
            <w:r>
              <w:rPr>
                <w:rFonts w:hint="eastAsia" w:ascii="黑体" w:hAnsi="黑体" w:eastAsia="黑体"/>
                <w:kern w:val="0"/>
                <w:sz w:val="24"/>
                <w:szCs w:val="24"/>
              </w:rPr>
              <w:t>）</w:t>
            </w:r>
          </w:p>
        </w:tc>
        <w:tc>
          <w:tcPr>
            <w:tcW w:w="597" w:type="dxa"/>
            <w:shd w:val="clear" w:color="auto" w:fill="auto"/>
            <w:tcMar>
              <w:left w:w="108" w:type="dxa"/>
              <w:right w:w="108" w:type="dxa"/>
            </w:tcMar>
            <w:vAlign w:val="center"/>
          </w:tcPr>
          <w:p w14:paraId="69DCE9F7">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2</w:t>
            </w:r>
          </w:p>
        </w:tc>
        <w:tc>
          <w:tcPr>
            <w:tcW w:w="570" w:type="dxa"/>
            <w:shd w:val="clear" w:color="auto" w:fill="auto"/>
            <w:tcMar>
              <w:left w:w="108" w:type="dxa"/>
              <w:right w:w="108" w:type="dxa"/>
            </w:tcMar>
            <w:vAlign w:val="center"/>
          </w:tcPr>
          <w:p w14:paraId="7918B6DC">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86" w:type="dxa"/>
            <w:shd w:val="clear" w:color="auto" w:fill="auto"/>
            <w:tcMar>
              <w:left w:w="108" w:type="dxa"/>
              <w:right w:w="108" w:type="dxa"/>
            </w:tcMar>
            <w:vAlign w:val="center"/>
          </w:tcPr>
          <w:p w14:paraId="642CF4C2">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99" w:type="dxa"/>
            <w:shd w:val="clear" w:color="auto" w:fill="auto"/>
            <w:tcMar>
              <w:left w:w="108" w:type="dxa"/>
              <w:right w:w="108" w:type="dxa"/>
            </w:tcMar>
            <w:vAlign w:val="center"/>
          </w:tcPr>
          <w:p w14:paraId="561EE7A1">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699" w:type="dxa"/>
            <w:shd w:val="clear" w:color="auto" w:fill="auto"/>
            <w:tcMar>
              <w:left w:w="108" w:type="dxa"/>
              <w:right w:w="108" w:type="dxa"/>
            </w:tcMar>
            <w:vAlign w:val="center"/>
          </w:tcPr>
          <w:p w14:paraId="005268D5">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62" w:type="dxa"/>
            <w:shd w:val="clear" w:color="auto" w:fill="auto"/>
            <w:tcMar>
              <w:left w:w="108" w:type="dxa"/>
              <w:right w:w="108" w:type="dxa"/>
            </w:tcMar>
            <w:vAlign w:val="center"/>
          </w:tcPr>
          <w:p w14:paraId="1F27CAD7">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841" w:type="dxa"/>
            <w:shd w:val="clear" w:color="auto" w:fill="auto"/>
            <w:tcMar>
              <w:left w:w="108" w:type="dxa"/>
              <w:right w:w="108" w:type="dxa"/>
            </w:tcMar>
            <w:vAlign w:val="center"/>
          </w:tcPr>
          <w:p w14:paraId="199EFE5F">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2</w:t>
            </w:r>
          </w:p>
        </w:tc>
      </w:tr>
      <w:tr w14:paraId="240983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40" w:type="dxa"/>
            <w:vMerge w:val="continue"/>
            <w:shd w:val="clear" w:color="auto" w:fill="auto"/>
            <w:tcMar>
              <w:left w:w="108" w:type="dxa"/>
              <w:right w:w="108" w:type="dxa"/>
            </w:tcMar>
            <w:vAlign w:val="center"/>
          </w:tcPr>
          <w:p w14:paraId="17252DEA">
            <w:pPr>
              <w:keepNext w:val="0"/>
              <w:keepLines w:val="0"/>
              <w:pageBreakBefore w:val="0"/>
              <w:kinsoku/>
              <w:wordWrap/>
              <w:overflowPunct/>
              <w:topLinePunct w:val="0"/>
              <w:autoSpaceDE/>
              <w:autoSpaceDN/>
              <w:bidi w:val="0"/>
              <w:adjustRightInd/>
              <w:snapToGrid/>
              <w:spacing w:line="260" w:lineRule="exact"/>
              <w:textAlignment w:val="auto"/>
              <w:rPr>
                <w:rFonts w:ascii="黑体" w:hAnsi="黑体" w:eastAsia="黑体"/>
                <w:sz w:val="24"/>
                <w:szCs w:val="24"/>
              </w:rPr>
            </w:pPr>
          </w:p>
        </w:tc>
        <w:tc>
          <w:tcPr>
            <w:tcW w:w="1040" w:type="dxa"/>
            <w:vMerge w:val="restart"/>
            <w:shd w:val="clear" w:color="auto" w:fill="auto"/>
            <w:tcMar>
              <w:left w:w="108" w:type="dxa"/>
              <w:right w:w="108" w:type="dxa"/>
            </w:tcMar>
            <w:vAlign w:val="center"/>
          </w:tcPr>
          <w:p w14:paraId="247118B1">
            <w:pPr>
              <w:keepNext w:val="0"/>
              <w:keepLines w:val="0"/>
              <w:pageBreakBefore w:val="0"/>
              <w:widowControl/>
              <w:kinsoku/>
              <w:wordWrap/>
              <w:overflowPunct/>
              <w:topLinePunct w:val="0"/>
              <w:autoSpaceDE/>
              <w:autoSpaceDN/>
              <w:bidi w:val="0"/>
              <w:adjustRightInd/>
              <w:snapToGrid/>
              <w:spacing w:line="260" w:lineRule="exact"/>
              <w:ind w:left="-107" w:leftChars="-51"/>
              <w:textAlignment w:val="auto"/>
              <w:rPr>
                <w:rFonts w:ascii="黑体" w:hAnsi="黑体" w:eastAsia="黑体"/>
                <w:sz w:val="24"/>
                <w:szCs w:val="24"/>
              </w:rPr>
            </w:pPr>
            <w:r>
              <w:rPr>
                <w:rFonts w:hint="eastAsia" w:ascii="黑体" w:hAnsi="黑体" w:eastAsia="黑体"/>
                <w:kern w:val="0"/>
                <w:sz w:val="24"/>
                <w:szCs w:val="24"/>
              </w:rPr>
              <w:t>（三）不予公开</w:t>
            </w:r>
          </w:p>
        </w:tc>
        <w:tc>
          <w:tcPr>
            <w:tcW w:w="3665" w:type="dxa"/>
            <w:shd w:val="clear" w:color="auto" w:fill="auto"/>
            <w:tcMar>
              <w:left w:w="108" w:type="dxa"/>
              <w:right w:w="108" w:type="dxa"/>
            </w:tcMar>
            <w:vAlign w:val="center"/>
          </w:tcPr>
          <w:p w14:paraId="1ECCB26A">
            <w:pPr>
              <w:keepNext w:val="0"/>
              <w:keepLines w:val="0"/>
              <w:pageBreakBefore w:val="0"/>
              <w:widowControl/>
              <w:kinsoku/>
              <w:wordWrap/>
              <w:overflowPunct/>
              <w:topLinePunct w:val="0"/>
              <w:autoSpaceDE/>
              <w:autoSpaceDN/>
              <w:bidi w:val="0"/>
              <w:adjustRightInd/>
              <w:snapToGrid/>
              <w:spacing w:line="260" w:lineRule="exact"/>
              <w:textAlignment w:val="auto"/>
              <w:rPr>
                <w:rFonts w:ascii="仿宋_GB2312" w:hAnsi="黑体" w:eastAsia="仿宋_GB2312"/>
                <w:kern w:val="0"/>
                <w:sz w:val="24"/>
                <w:szCs w:val="24"/>
              </w:rPr>
            </w:pPr>
            <w:r>
              <w:rPr>
                <w:rFonts w:hint="eastAsia" w:ascii="仿宋_GB2312" w:hAnsi="黑体" w:eastAsia="仿宋_GB2312"/>
                <w:kern w:val="0"/>
                <w:sz w:val="24"/>
                <w:szCs w:val="24"/>
              </w:rPr>
              <w:t>1.属于国家秘密</w:t>
            </w:r>
          </w:p>
        </w:tc>
        <w:tc>
          <w:tcPr>
            <w:tcW w:w="597" w:type="dxa"/>
            <w:shd w:val="clear" w:color="auto" w:fill="auto"/>
            <w:tcMar>
              <w:left w:w="108" w:type="dxa"/>
              <w:right w:w="108" w:type="dxa"/>
            </w:tcMar>
            <w:vAlign w:val="center"/>
          </w:tcPr>
          <w:p w14:paraId="0EF55AE6">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70" w:type="dxa"/>
            <w:shd w:val="clear" w:color="auto" w:fill="auto"/>
            <w:tcMar>
              <w:left w:w="108" w:type="dxa"/>
              <w:right w:w="108" w:type="dxa"/>
            </w:tcMar>
            <w:vAlign w:val="center"/>
          </w:tcPr>
          <w:p w14:paraId="356B7604">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86" w:type="dxa"/>
            <w:shd w:val="clear" w:color="auto" w:fill="auto"/>
            <w:tcMar>
              <w:left w:w="108" w:type="dxa"/>
              <w:right w:w="108" w:type="dxa"/>
            </w:tcMar>
            <w:vAlign w:val="center"/>
          </w:tcPr>
          <w:p w14:paraId="6C71E1FA">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99" w:type="dxa"/>
            <w:shd w:val="clear" w:color="auto" w:fill="auto"/>
            <w:tcMar>
              <w:left w:w="108" w:type="dxa"/>
              <w:right w:w="108" w:type="dxa"/>
            </w:tcMar>
            <w:vAlign w:val="center"/>
          </w:tcPr>
          <w:p w14:paraId="13B3A3C9">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699" w:type="dxa"/>
            <w:shd w:val="clear" w:color="auto" w:fill="auto"/>
            <w:tcMar>
              <w:left w:w="108" w:type="dxa"/>
              <w:right w:w="108" w:type="dxa"/>
            </w:tcMar>
            <w:vAlign w:val="center"/>
          </w:tcPr>
          <w:p w14:paraId="3A5A8362">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62" w:type="dxa"/>
            <w:shd w:val="clear" w:color="auto" w:fill="auto"/>
            <w:tcMar>
              <w:left w:w="108" w:type="dxa"/>
              <w:right w:w="108" w:type="dxa"/>
            </w:tcMar>
            <w:vAlign w:val="center"/>
          </w:tcPr>
          <w:p w14:paraId="0FCF04D1">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841" w:type="dxa"/>
            <w:shd w:val="clear" w:color="auto" w:fill="auto"/>
            <w:tcMar>
              <w:left w:w="108" w:type="dxa"/>
              <w:right w:w="108" w:type="dxa"/>
            </w:tcMar>
            <w:vAlign w:val="center"/>
          </w:tcPr>
          <w:p w14:paraId="2CE5E72A">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r>
      <w:tr w14:paraId="38A92C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40" w:type="dxa"/>
            <w:vMerge w:val="continue"/>
            <w:shd w:val="clear" w:color="auto" w:fill="auto"/>
            <w:tcMar>
              <w:left w:w="108" w:type="dxa"/>
              <w:right w:w="108" w:type="dxa"/>
            </w:tcMar>
            <w:vAlign w:val="center"/>
          </w:tcPr>
          <w:p w14:paraId="1D96CABF">
            <w:pPr>
              <w:keepNext w:val="0"/>
              <w:keepLines w:val="0"/>
              <w:pageBreakBefore w:val="0"/>
              <w:kinsoku/>
              <w:wordWrap/>
              <w:overflowPunct/>
              <w:topLinePunct w:val="0"/>
              <w:autoSpaceDE/>
              <w:autoSpaceDN/>
              <w:bidi w:val="0"/>
              <w:adjustRightInd/>
              <w:snapToGrid/>
              <w:spacing w:line="260" w:lineRule="exact"/>
              <w:textAlignment w:val="auto"/>
              <w:rPr>
                <w:rFonts w:ascii="黑体" w:hAnsi="黑体" w:eastAsia="黑体"/>
                <w:sz w:val="24"/>
                <w:szCs w:val="24"/>
              </w:rPr>
            </w:pPr>
          </w:p>
        </w:tc>
        <w:tc>
          <w:tcPr>
            <w:tcW w:w="1040" w:type="dxa"/>
            <w:vMerge w:val="continue"/>
            <w:shd w:val="clear" w:color="auto" w:fill="auto"/>
            <w:tcMar>
              <w:left w:w="108" w:type="dxa"/>
              <w:right w:w="108" w:type="dxa"/>
            </w:tcMar>
            <w:vAlign w:val="center"/>
          </w:tcPr>
          <w:p w14:paraId="12497961">
            <w:pPr>
              <w:keepNext w:val="0"/>
              <w:keepLines w:val="0"/>
              <w:pageBreakBefore w:val="0"/>
              <w:kinsoku/>
              <w:wordWrap/>
              <w:overflowPunct/>
              <w:topLinePunct w:val="0"/>
              <w:autoSpaceDE/>
              <w:autoSpaceDN/>
              <w:bidi w:val="0"/>
              <w:adjustRightInd/>
              <w:snapToGrid/>
              <w:spacing w:line="260" w:lineRule="exact"/>
              <w:textAlignment w:val="auto"/>
              <w:rPr>
                <w:rFonts w:ascii="黑体" w:hAnsi="黑体" w:eastAsia="黑体"/>
                <w:sz w:val="24"/>
                <w:szCs w:val="24"/>
              </w:rPr>
            </w:pPr>
          </w:p>
        </w:tc>
        <w:tc>
          <w:tcPr>
            <w:tcW w:w="3665" w:type="dxa"/>
            <w:shd w:val="clear" w:color="auto" w:fill="auto"/>
            <w:tcMar>
              <w:left w:w="108" w:type="dxa"/>
              <w:right w:w="108" w:type="dxa"/>
            </w:tcMar>
            <w:vAlign w:val="center"/>
          </w:tcPr>
          <w:p w14:paraId="6539B1F8">
            <w:pPr>
              <w:keepNext w:val="0"/>
              <w:keepLines w:val="0"/>
              <w:pageBreakBefore w:val="0"/>
              <w:widowControl/>
              <w:kinsoku/>
              <w:wordWrap/>
              <w:overflowPunct/>
              <w:topLinePunct w:val="0"/>
              <w:autoSpaceDE/>
              <w:autoSpaceDN/>
              <w:bidi w:val="0"/>
              <w:adjustRightInd/>
              <w:snapToGrid/>
              <w:spacing w:line="260" w:lineRule="exact"/>
              <w:textAlignment w:val="auto"/>
              <w:rPr>
                <w:rFonts w:ascii="仿宋_GB2312" w:hAnsi="黑体" w:eastAsia="仿宋_GB2312"/>
                <w:kern w:val="0"/>
                <w:sz w:val="24"/>
                <w:szCs w:val="24"/>
              </w:rPr>
            </w:pPr>
            <w:r>
              <w:rPr>
                <w:rFonts w:hint="eastAsia" w:ascii="仿宋_GB2312" w:hAnsi="黑体" w:eastAsia="仿宋_GB2312"/>
                <w:kern w:val="0"/>
                <w:sz w:val="24"/>
                <w:szCs w:val="24"/>
              </w:rPr>
              <w:t>2.</w:t>
            </w:r>
            <w:bookmarkStart w:id="5" w:name="_Hlk66974104"/>
            <w:r>
              <w:rPr>
                <w:rFonts w:hint="eastAsia" w:ascii="仿宋_GB2312" w:hAnsi="黑体" w:eastAsia="仿宋_GB2312"/>
                <w:kern w:val="0"/>
                <w:sz w:val="24"/>
                <w:szCs w:val="24"/>
              </w:rPr>
              <w:t>其他法律行政法规禁止公开</w:t>
            </w:r>
            <w:bookmarkEnd w:id="5"/>
          </w:p>
        </w:tc>
        <w:tc>
          <w:tcPr>
            <w:tcW w:w="597" w:type="dxa"/>
            <w:shd w:val="clear" w:color="auto" w:fill="auto"/>
            <w:tcMar>
              <w:left w:w="108" w:type="dxa"/>
              <w:right w:w="108" w:type="dxa"/>
            </w:tcMar>
            <w:vAlign w:val="center"/>
          </w:tcPr>
          <w:p w14:paraId="51304544">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70" w:type="dxa"/>
            <w:shd w:val="clear" w:color="auto" w:fill="auto"/>
            <w:tcMar>
              <w:left w:w="108" w:type="dxa"/>
              <w:right w:w="108" w:type="dxa"/>
            </w:tcMar>
            <w:vAlign w:val="center"/>
          </w:tcPr>
          <w:p w14:paraId="2402595E">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86" w:type="dxa"/>
            <w:shd w:val="clear" w:color="auto" w:fill="auto"/>
            <w:tcMar>
              <w:left w:w="108" w:type="dxa"/>
              <w:right w:w="108" w:type="dxa"/>
            </w:tcMar>
            <w:vAlign w:val="center"/>
          </w:tcPr>
          <w:p w14:paraId="3950F51C">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99" w:type="dxa"/>
            <w:shd w:val="clear" w:color="auto" w:fill="auto"/>
            <w:tcMar>
              <w:left w:w="108" w:type="dxa"/>
              <w:right w:w="108" w:type="dxa"/>
            </w:tcMar>
            <w:vAlign w:val="center"/>
          </w:tcPr>
          <w:p w14:paraId="6BF230CE">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699" w:type="dxa"/>
            <w:shd w:val="clear" w:color="auto" w:fill="auto"/>
            <w:tcMar>
              <w:left w:w="108" w:type="dxa"/>
              <w:right w:w="108" w:type="dxa"/>
            </w:tcMar>
            <w:vAlign w:val="center"/>
          </w:tcPr>
          <w:p w14:paraId="545FC334">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62" w:type="dxa"/>
            <w:shd w:val="clear" w:color="auto" w:fill="auto"/>
            <w:tcMar>
              <w:left w:w="108" w:type="dxa"/>
              <w:right w:w="108" w:type="dxa"/>
            </w:tcMar>
            <w:vAlign w:val="center"/>
          </w:tcPr>
          <w:p w14:paraId="1D69978A">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841" w:type="dxa"/>
            <w:shd w:val="clear" w:color="auto" w:fill="auto"/>
            <w:tcMar>
              <w:left w:w="108" w:type="dxa"/>
              <w:right w:w="108" w:type="dxa"/>
            </w:tcMar>
            <w:vAlign w:val="center"/>
          </w:tcPr>
          <w:p w14:paraId="2DFB119D">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r>
      <w:tr w14:paraId="54847D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40" w:type="dxa"/>
            <w:vMerge w:val="continue"/>
            <w:shd w:val="clear" w:color="auto" w:fill="auto"/>
            <w:tcMar>
              <w:left w:w="108" w:type="dxa"/>
              <w:right w:w="108" w:type="dxa"/>
            </w:tcMar>
            <w:vAlign w:val="center"/>
          </w:tcPr>
          <w:p w14:paraId="29F03A71">
            <w:pPr>
              <w:keepNext w:val="0"/>
              <w:keepLines w:val="0"/>
              <w:pageBreakBefore w:val="0"/>
              <w:kinsoku/>
              <w:wordWrap/>
              <w:overflowPunct/>
              <w:topLinePunct w:val="0"/>
              <w:autoSpaceDE/>
              <w:autoSpaceDN/>
              <w:bidi w:val="0"/>
              <w:adjustRightInd/>
              <w:snapToGrid/>
              <w:spacing w:line="260" w:lineRule="exact"/>
              <w:textAlignment w:val="auto"/>
              <w:rPr>
                <w:rFonts w:ascii="黑体" w:hAnsi="黑体" w:eastAsia="黑体"/>
                <w:sz w:val="24"/>
                <w:szCs w:val="24"/>
              </w:rPr>
            </w:pPr>
          </w:p>
        </w:tc>
        <w:tc>
          <w:tcPr>
            <w:tcW w:w="1040" w:type="dxa"/>
            <w:vMerge w:val="continue"/>
            <w:shd w:val="clear" w:color="auto" w:fill="auto"/>
            <w:tcMar>
              <w:left w:w="108" w:type="dxa"/>
              <w:right w:w="108" w:type="dxa"/>
            </w:tcMar>
            <w:vAlign w:val="center"/>
          </w:tcPr>
          <w:p w14:paraId="415B7DA6">
            <w:pPr>
              <w:keepNext w:val="0"/>
              <w:keepLines w:val="0"/>
              <w:pageBreakBefore w:val="0"/>
              <w:kinsoku/>
              <w:wordWrap/>
              <w:overflowPunct/>
              <w:topLinePunct w:val="0"/>
              <w:autoSpaceDE/>
              <w:autoSpaceDN/>
              <w:bidi w:val="0"/>
              <w:adjustRightInd/>
              <w:snapToGrid/>
              <w:spacing w:line="260" w:lineRule="exact"/>
              <w:textAlignment w:val="auto"/>
              <w:rPr>
                <w:rFonts w:ascii="黑体" w:hAnsi="黑体" w:eastAsia="黑体"/>
                <w:sz w:val="24"/>
                <w:szCs w:val="24"/>
              </w:rPr>
            </w:pPr>
          </w:p>
        </w:tc>
        <w:tc>
          <w:tcPr>
            <w:tcW w:w="3665" w:type="dxa"/>
            <w:shd w:val="clear" w:color="auto" w:fill="auto"/>
            <w:tcMar>
              <w:left w:w="108" w:type="dxa"/>
              <w:right w:w="108" w:type="dxa"/>
            </w:tcMar>
            <w:vAlign w:val="center"/>
          </w:tcPr>
          <w:p w14:paraId="65C1963F">
            <w:pPr>
              <w:keepNext w:val="0"/>
              <w:keepLines w:val="0"/>
              <w:pageBreakBefore w:val="0"/>
              <w:widowControl/>
              <w:kinsoku/>
              <w:wordWrap/>
              <w:overflowPunct/>
              <w:topLinePunct w:val="0"/>
              <w:autoSpaceDE/>
              <w:autoSpaceDN/>
              <w:bidi w:val="0"/>
              <w:adjustRightInd/>
              <w:snapToGrid/>
              <w:spacing w:line="260" w:lineRule="exact"/>
              <w:textAlignment w:val="auto"/>
              <w:rPr>
                <w:rFonts w:ascii="仿宋_GB2312" w:hAnsi="黑体" w:eastAsia="仿宋_GB2312"/>
                <w:kern w:val="0"/>
                <w:sz w:val="24"/>
                <w:szCs w:val="24"/>
              </w:rPr>
            </w:pPr>
            <w:r>
              <w:rPr>
                <w:rFonts w:hint="eastAsia" w:ascii="仿宋_GB2312" w:hAnsi="黑体" w:eastAsia="仿宋_GB2312"/>
                <w:kern w:val="0"/>
                <w:sz w:val="24"/>
                <w:szCs w:val="24"/>
              </w:rPr>
              <w:t>3.危及“三安全一稳定”</w:t>
            </w:r>
          </w:p>
        </w:tc>
        <w:tc>
          <w:tcPr>
            <w:tcW w:w="597" w:type="dxa"/>
            <w:shd w:val="clear" w:color="auto" w:fill="auto"/>
            <w:tcMar>
              <w:left w:w="108" w:type="dxa"/>
              <w:right w:w="108" w:type="dxa"/>
            </w:tcMar>
            <w:vAlign w:val="center"/>
          </w:tcPr>
          <w:p w14:paraId="3F8720C6">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70" w:type="dxa"/>
            <w:shd w:val="clear" w:color="auto" w:fill="auto"/>
            <w:tcMar>
              <w:left w:w="108" w:type="dxa"/>
              <w:right w:w="108" w:type="dxa"/>
            </w:tcMar>
            <w:vAlign w:val="center"/>
          </w:tcPr>
          <w:p w14:paraId="69DDF2E3">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86" w:type="dxa"/>
            <w:shd w:val="clear" w:color="auto" w:fill="auto"/>
            <w:tcMar>
              <w:left w:w="108" w:type="dxa"/>
              <w:right w:w="108" w:type="dxa"/>
            </w:tcMar>
            <w:vAlign w:val="center"/>
          </w:tcPr>
          <w:p w14:paraId="7DC043DC">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99" w:type="dxa"/>
            <w:shd w:val="clear" w:color="auto" w:fill="auto"/>
            <w:tcMar>
              <w:left w:w="108" w:type="dxa"/>
              <w:right w:w="108" w:type="dxa"/>
            </w:tcMar>
            <w:vAlign w:val="center"/>
          </w:tcPr>
          <w:p w14:paraId="52303EF2">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699" w:type="dxa"/>
            <w:shd w:val="clear" w:color="auto" w:fill="auto"/>
            <w:tcMar>
              <w:left w:w="108" w:type="dxa"/>
              <w:right w:w="108" w:type="dxa"/>
            </w:tcMar>
            <w:vAlign w:val="center"/>
          </w:tcPr>
          <w:p w14:paraId="5AD7FBB7">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62" w:type="dxa"/>
            <w:shd w:val="clear" w:color="auto" w:fill="auto"/>
            <w:tcMar>
              <w:left w:w="108" w:type="dxa"/>
              <w:right w:w="108" w:type="dxa"/>
            </w:tcMar>
            <w:vAlign w:val="center"/>
          </w:tcPr>
          <w:p w14:paraId="64E6A300">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841" w:type="dxa"/>
            <w:shd w:val="clear" w:color="auto" w:fill="auto"/>
            <w:tcMar>
              <w:left w:w="108" w:type="dxa"/>
              <w:right w:w="108" w:type="dxa"/>
            </w:tcMar>
            <w:vAlign w:val="center"/>
          </w:tcPr>
          <w:p w14:paraId="0E7DA2CD">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r>
      <w:tr w14:paraId="4E2AD0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40" w:type="dxa"/>
            <w:vMerge w:val="continue"/>
            <w:shd w:val="clear" w:color="auto" w:fill="auto"/>
            <w:tcMar>
              <w:left w:w="108" w:type="dxa"/>
              <w:right w:w="108" w:type="dxa"/>
            </w:tcMar>
            <w:vAlign w:val="center"/>
          </w:tcPr>
          <w:p w14:paraId="41101B25">
            <w:pPr>
              <w:keepNext w:val="0"/>
              <w:keepLines w:val="0"/>
              <w:pageBreakBefore w:val="0"/>
              <w:kinsoku/>
              <w:wordWrap/>
              <w:overflowPunct/>
              <w:topLinePunct w:val="0"/>
              <w:autoSpaceDE/>
              <w:autoSpaceDN/>
              <w:bidi w:val="0"/>
              <w:adjustRightInd/>
              <w:snapToGrid/>
              <w:spacing w:line="260" w:lineRule="exact"/>
              <w:textAlignment w:val="auto"/>
              <w:rPr>
                <w:rFonts w:ascii="黑体" w:hAnsi="黑体" w:eastAsia="黑体"/>
                <w:sz w:val="24"/>
                <w:szCs w:val="24"/>
              </w:rPr>
            </w:pPr>
          </w:p>
        </w:tc>
        <w:tc>
          <w:tcPr>
            <w:tcW w:w="1040" w:type="dxa"/>
            <w:vMerge w:val="continue"/>
            <w:shd w:val="clear" w:color="auto" w:fill="auto"/>
            <w:tcMar>
              <w:left w:w="108" w:type="dxa"/>
              <w:right w:w="108" w:type="dxa"/>
            </w:tcMar>
            <w:vAlign w:val="center"/>
          </w:tcPr>
          <w:p w14:paraId="178434E2">
            <w:pPr>
              <w:keepNext w:val="0"/>
              <w:keepLines w:val="0"/>
              <w:pageBreakBefore w:val="0"/>
              <w:kinsoku/>
              <w:wordWrap/>
              <w:overflowPunct/>
              <w:topLinePunct w:val="0"/>
              <w:autoSpaceDE/>
              <w:autoSpaceDN/>
              <w:bidi w:val="0"/>
              <w:adjustRightInd/>
              <w:snapToGrid/>
              <w:spacing w:line="260" w:lineRule="exact"/>
              <w:textAlignment w:val="auto"/>
              <w:rPr>
                <w:rFonts w:ascii="黑体" w:hAnsi="黑体" w:eastAsia="黑体"/>
                <w:sz w:val="24"/>
                <w:szCs w:val="24"/>
              </w:rPr>
            </w:pPr>
          </w:p>
        </w:tc>
        <w:tc>
          <w:tcPr>
            <w:tcW w:w="3665" w:type="dxa"/>
            <w:shd w:val="clear" w:color="auto" w:fill="auto"/>
            <w:tcMar>
              <w:left w:w="108" w:type="dxa"/>
              <w:right w:w="108" w:type="dxa"/>
            </w:tcMar>
            <w:vAlign w:val="center"/>
          </w:tcPr>
          <w:p w14:paraId="3360B1FB">
            <w:pPr>
              <w:keepNext w:val="0"/>
              <w:keepLines w:val="0"/>
              <w:pageBreakBefore w:val="0"/>
              <w:widowControl/>
              <w:kinsoku/>
              <w:wordWrap/>
              <w:overflowPunct/>
              <w:topLinePunct w:val="0"/>
              <w:autoSpaceDE/>
              <w:autoSpaceDN/>
              <w:bidi w:val="0"/>
              <w:adjustRightInd/>
              <w:snapToGrid/>
              <w:spacing w:line="260" w:lineRule="exact"/>
              <w:textAlignment w:val="auto"/>
              <w:rPr>
                <w:rFonts w:ascii="仿宋_GB2312" w:hAnsi="黑体" w:eastAsia="仿宋_GB2312"/>
                <w:kern w:val="0"/>
                <w:sz w:val="24"/>
                <w:szCs w:val="24"/>
              </w:rPr>
            </w:pPr>
            <w:r>
              <w:rPr>
                <w:rFonts w:hint="eastAsia" w:ascii="仿宋_GB2312" w:hAnsi="黑体" w:eastAsia="仿宋_GB2312"/>
                <w:kern w:val="0"/>
                <w:sz w:val="24"/>
                <w:szCs w:val="24"/>
              </w:rPr>
              <w:t>4.</w:t>
            </w:r>
            <w:bookmarkStart w:id="6" w:name="_Hlk66974290"/>
            <w:r>
              <w:rPr>
                <w:rFonts w:hint="eastAsia" w:ascii="仿宋_GB2312" w:hAnsi="黑体" w:eastAsia="仿宋_GB2312"/>
                <w:kern w:val="0"/>
                <w:sz w:val="24"/>
                <w:szCs w:val="24"/>
              </w:rPr>
              <w:t>保护第三方合法权益</w:t>
            </w:r>
            <w:bookmarkEnd w:id="6"/>
          </w:p>
        </w:tc>
        <w:tc>
          <w:tcPr>
            <w:tcW w:w="597" w:type="dxa"/>
            <w:shd w:val="clear" w:color="auto" w:fill="auto"/>
            <w:tcMar>
              <w:left w:w="108" w:type="dxa"/>
              <w:right w:w="108" w:type="dxa"/>
            </w:tcMar>
            <w:vAlign w:val="center"/>
          </w:tcPr>
          <w:p w14:paraId="0AB4EF3E">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70" w:type="dxa"/>
            <w:shd w:val="clear" w:color="auto" w:fill="auto"/>
            <w:tcMar>
              <w:left w:w="108" w:type="dxa"/>
              <w:right w:w="108" w:type="dxa"/>
            </w:tcMar>
            <w:vAlign w:val="center"/>
          </w:tcPr>
          <w:p w14:paraId="77066AD9">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86" w:type="dxa"/>
            <w:shd w:val="clear" w:color="auto" w:fill="auto"/>
            <w:tcMar>
              <w:left w:w="108" w:type="dxa"/>
              <w:right w:w="108" w:type="dxa"/>
            </w:tcMar>
            <w:vAlign w:val="center"/>
          </w:tcPr>
          <w:p w14:paraId="306EE86E">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99" w:type="dxa"/>
            <w:shd w:val="clear" w:color="auto" w:fill="auto"/>
            <w:tcMar>
              <w:left w:w="108" w:type="dxa"/>
              <w:right w:w="108" w:type="dxa"/>
            </w:tcMar>
            <w:vAlign w:val="center"/>
          </w:tcPr>
          <w:p w14:paraId="40F4FE94">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699" w:type="dxa"/>
            <w:shd w:val="clear" w:color="auto" w:fill="auto"/>
            <w:tcMar>
              <w:left w:w="108" w:type="dxa"/>
              <w:right w:w="108" w:type="dxa"/>
            </w:tcMar>
            <w:vAlign w:val="center"/>
          </w:tcPr>
          <w:p w14:paraId="56423F61">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62" w:type="dxa"/>
            <w:shd w:val="clear" w:color="auto" w:fill="auto"/>
            <w:tcMar>
              <w:left w:w="108" w:type="dxa"/>
              <w:right w:w="108" w:type="dxa"/>
            </w:tcMar>
            <w:vAlign w:val="center"/>
          </w:tcPr>
          <w:p w14:paraId="04144909">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841" w:type="dxa"/>
            <w:shd w:val="clear" w:color="auto" w:fill="auto"/>
            <w:tcMar>
              <w:left w:w="108" w:type="dxa"/>
              <w:right w:w="108" w:type="dxa"/>
            </w:tcMar>
            <w:vAlign w:val="center"/>
          </w:tcPr>
          <w:p w14:paraId="2BADFB62">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r>
      <w:tr w14:paraId="2F52F6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40" w:type="dxa"/>
            <w:vMerge w:val="continue"/>
            <w:shd w:val="clear" w:color="auto" w:fill="auto"/>
            <w:tcMar>
              <w:left w:w="108" w:type="dxa"/>
              <w:right w:w="108" w:type="dxa"/>
            </w:tcMar>
            <w:vAlign w:val="center"/>
          </w:tcPr>
          <w:p w14:paraId="157865C0">
            <w:pPr>
              <w:keepNext w:val="0"/>
              <w:keepLines w:val="0"/>
              <w:pageBreakBefore w:val="0"/>
              <w:kinsoku/>
              <w:wordWrap/>
              <w:overflowPunct/>
              <w:topLinePunct w:val="0"/>
              <w:autoSpaceDE/>
              <w:autoSpaceDN/>
              <w:bidi w:val="0"/>
              <w:adjustRightInd/>
              <w:snapToGrid/>
              <w:spacing w:line="260" w:lineRule="exact"/>
              <w:textAlignment w:val="auto"/>
              <w:rPr>
                <w:rFonts w:ascii="黑体" w:hAnsi="黑体" w:eastAsia="黑体"/>
                <w:sz w:val="24"/>
                <w:szCs w:val="24"/>
              </w:rPr>
            </w:pPr>
          </w:p>
        </w:tc>
        <w:tc>
          <w:tcPr>
            <w:tcW w:w="1040" w:type="dxa"/>
            <w:vMerge w:val="continue"/>
            <w:shd w:val="clear" w:color="auto" w:fill="auto"/>
            <w:tcMar>
              <w:left w:w="108" w:type="dxa"/>
              <w:right w:w="108" w:type="dxa"/>
            </w:tcMar>
            <w:vAlign w:val="center"/>
          </w:tcPr>
          <w:p w14:paraId="688AFC7F">
            <w:pPr>
              <w:keepNext w:val="0"/>
              <w:keepLines w:val="0"/>
              <w:pageBreakBefore w:val="0"/>
              <w:kinsoku/>
              <w:wordWrap/>
              <w:overflowPunct/>
              <w:topLinePunct w:val="0"/>
              <w:autoSpaceDE/>
              <w:autoSpaceDN/>
              <w:bidi w:val="0"/>
              <w:adjustRightInd/>
              <w:snapToGrid/>
              <w:spacing w:line="260" w:lineRule="exact"/>
              <w:textAlignment w:val="auto"/>
              <w:rPr>
                <w:rFonts w:ascii="黑体" w:hAnsi="黑体" w:eastAsia="黑体"/>
                <w:sz w:val="24"/>
                <w:szCs w:val="24"/>
              </w:rPr>
            </w:pPr>
          </w:p>
        </w:tc>
        <w:tc>
          <w:tcPr>
            <w:tcW w:w="3665" w:type="dxa"/>
            <w:shd w:val="clear" w:color="auto" w:fill="auto"/>
            <w:tcMar>
              <w:left w:w="108" w:type="dxa"/>
              <w:right w:w="108" w:type="dxa"/>
            </w:tcMar>
            <w:vAlign w:val="center"/>
          </w:tcPr>
          <w:p w14:paraId="3E426798">
            <w:pPr>
              <w:keepNext w:val="0"/>
              <w:keepLines w:val="0"/>
              <w:pageBreakBefore w:val="0"/>
              <w:widowControl/>
              <w:kinsoku/>
              <w:wordWrap/>
              <w:overflowPunct/>
              <w:topLinePunct w:val="0"/>
              <w:autoSpaceDE/>
              <w:autoSpaceDN/>
              <w:bidi w:val="0"/>
              <w:adjustRightInd/>
              <w:snapToGrid/>
              <w:spacing w:line="260" w:lineRule="exact"/>
              <w:textAlignment w:val="auto"/>
              <w:rPr>
                <w:rFonts w:ascii="仿宋_GB2312" w:hAnsi="黑体" w:eastAsia="仿宋_GB2312"/>
                <w:kern w:val="0"/>
                <w:sz w:val="24"/>
                <w:szCs w:val="24"/>
              </w:rPr>
            </w:pPr>
            <w:r>
              <w:rPr>
                <w:rFonts w:hint="eastAsia" w:ascii="仿宋_GB2312" w:hAnsi="黑体" w:eastAsia="仿宋_GB2312"/>
                <w:kern w:val="0"/>
                <w:sz w:val="24"/>
                <w:szCs w:val="24"/>
              </w:rPr>
              <w:t>5.属于三类内部事务信息</w:t>
            </w:r>
          </w:p>
        </w:tc>
        <w:tc>
          <w:tcPr>
            <w:tcW w:w="597" w:type="dxa"/>
            <w:shd w:val="clear" w:color="auto" w:fill="auto"/>
            <w:tcMar>
              <w:left w:w="108" w:type="dxa"/>
              <w:right w:w="108" w:type="dxa"/>
            </w:tcMar>
            <w:vAlign w:val="center"/>
          </w:tcPr>
          <w:p w14:paraId="022231E6">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70" w:type="dxa"/>
            <w:shd w:val="clear" w:color="auto" w:fill="auto"/>
            <w:tcMar>
              <w:left w:w="108" w:type="dxa"/>
              <w:right w:w="108" w:type="dxa"/>
            </w:tcMar>
            <w:vAlign w:val="center"/>
          </w:tcPr>
          <w:p w14:paraId="55ACACE6">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86" w:type="dxa"/>
            <w:shd w:val="clear" w:color="auto" w:fill="auto"/>
            <w:tcMar>
              <w:left w:w="108" w:type="dxa"/>
              <w:right w:w="108" w:type="dxa"/>
            </w:tcMar>
            <w:vAlign w:val="center"/>
          </w:tcPr>
          <w:p w14:paraId="130925B6">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99" w:type="dxa"/>
            <w:shd w:val="clear" w:color="auto" w:fill="auto"/>
            <w:tcMar>
              <w:left w:w="108" w:type="dxa"/>
              <w:right w:w="108" w:type="dxa"/>
            </w:tcMar>
            <w:vAlign w:val="center"/>
          </w:tcPr>
          <w:p w14:paraId="1280599F">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699" w:type="dxa"/>
            <w:shd w:val="clear" w:color="auto" w:fill="auto"/>
            <w:tcMar>
              <w:left w:w="108" w:type="dxa"/>
              <w:right w:w="108" w:type="dxa"/>
            </w:tcMar>
            <w:vAlign w:val="center"/>
          </w:tcPr>
          <w:p w14:paraId="51B88FA7">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62" w:type="dxa"/>
            <w:shd w:val="clear" w:color="auto" w:fill="auto"/>
            <w:tcMar>
              <w:left w:w="108" w:type="dxa"/>
              <w:right w:w="108" w:type="dxa"/>
            </w:tcMar>
            <w:vAlign w:val="center"/>
          </w:tcPr>
          <w:p w14:paraId="111B17F1">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841" w:type="dxa"/>
            <w:shd w:val="clear" w:color="auto" w:fill="auto"/>
            <w:tcMar>
              <w:left w:w="108" w:type="dxa"/>
              <w:right w:w="108" w:type="dxa"/>
            </w:tcMar>
            <w:vAlign w:val="center"/>
          </w:tcPr>
          <w:p w14:paraId="311AEEFE">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r>
      <w:tr w14:paraId="6080EF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40" w:type="dxa"/>
            <w:vMerge w:val="continue"/>
            <w:shd w:val="clear" w:color="auto" w:fill="auto"/>
            <w:tcMar>
              <w:left w:w="108" w:type="dxa"/>
              <w:right w:w="108" w:type="dxa"/>
            </w:tcMar>
            <w:vAlign w:val="center"/>
          </w:tcPr>
          <w:p w14:paraId="563507B2">
            <w:pPr>
              <w:keepNext w:val="0"/>
              <w:keepLines w:val="0"/>
              <w:pageBreakBefore w:val="0"/>
              <w:kinsoku/>
              <w:wordWrap/>
              <w:overflowPunct/>
              <w:topLinePunct w:val="0"/>
              <w:autoSpaceDE/>
              <w:autoSpaceDN/>
              <w:bidi w:val="0"/>
              <w:adjustRightInd/>
              <w:snapToGrid/>
              <w:spacing w:line="260" w:lineRule="exact"/>
              <w:textAlignment w:val="auto"/>
              <w:rPr>
                <w:rFonts w:ascii="黑体" w:hAnsi="黑体" w:eastAsia="黑体"/>
                <w:sz w:val="24"/>
                <w:szCs w:val="24"/>
              </w:rPr>
            </w:pPr>
          </w:p>
        </w:tc>
        <w:tc>
          <w:tcPr>
            <w:tcW w:w="1040" w:type="dxa"/>
            <w:vMerge w:val="continue"/>
            <w:shd w:val="clear" w:color="auto" w:fill="auto"/>
            <w:tcMar>
              <w:left w:w="108" w:type="dxa"/>
              <w:right w:w="108" w:type="dxa"/>
            </w:tcMar>
            <w:vAlign w:val="center"/>
          </w:tcPr>
          <w:p w14:paraId="2FF5E02B">
            <w:pPr>
              <w:keepNext w:val="0"/>
              <w:keepLines w:val="0"/>
              <w:pageBreakBefore w:val="0"/>
              <w:kinsoku/>
              <w:wordWrap/>
              <w:overflowPunct/>
              <w:topLinePunct w:val="0"/>
              <w:autoSpaceDE/>
              <w:autoSpaceDN/>
              <w:bidi w:val="0"/>
              <w:adjustRightInd/>
              <w:snapToGrid/>
              <w:spacing w:line="260" w:lineRule="exact"/>
              <w:textAlignment w:val="auto"/>
              <w:rPr>
                <w:rFonts w:ascii="黑体" w:hAnsi="黑体" w:eastAsia="黑体"/>
                <w:sz w:val="24"/>
                <w:szCs w:val="24"/>
              </w:rPr>
            </w:pPr>
          </w:p>
        </w:tc>
        <w:tc>
          <w:tcPr>
            <w:tcW w:w="3665" w:type="dxa"/>
            <w:shd w:val="clear" w:color="auto" w:fill="auto"/>
            <w:tcMar>
              <w:left w:w="108" w:type="dxa"/>
              <w:right w:w="108" w:type="dxa"/>
            </w:tcMar>
            <w:vAlign w:val="center"/>
          </w:tcPr>
          <w:p w14:paraId="3CABFABE">
            <w:pPr>
              <w:keepNext w:val="0"/>
              <w:keepLines w:val="0"/>
              <w:pageBreakBefore w:val="0"/>
              <w:widowControl/>
              <w:kinsoku/>
              <w:wordWrap/>
              <w:overflowPunct/>
              <w:topLinePunct w:val="0"/>
              <w:autoSpaceDE/>
              <w:autoSpaceDN/>
              <w:bidi w:val="0"/>
              <w:adjustRightInd/>
              <w:snapToGrid/>
              <w:spacing w:line="260" w:lineRule="exact"/>
              <w:textAlignment w:val="auto"/>
              <w:rPr>
                <w:rFonts w:ascii="仿宋_GB2312" w:hAnsi="黑体" w:eastAsia="仿宋_GB2312"/>
                <w:kern w:val="0"/>
                <w:sz w:val="24"/>
                <w:szCs w:val="24"/>
              </w:rPr>
            </w:pPr>
            <w:r>
              <w:rPr>
                <w:rFonts w:hint="eastAsia" w:ascii="仿宋_GB2312" w:hAnsi="黑体" w:eastAsia="仿宋_GB2312"/>
                <w:kern w:val="0"/>
                <w:sz w:val="24"/>
                <w:szCs w:val="24"/>
              </w:rPr>
              <w:t>6.</w:t>
            </w:r>
            <w:bookmarkStart w:id="7" w:name="_Hlk66974555"/>
            <w:r>
              <w:rPr>
                <w:rFonts w:hint="eastAsia" w:ascii="仿宋_GB2312" w:hAnsi="黑体" w:eastAsia="仿宋_GB2312"/>
                <w:kern w:val="0"/>
                <w:sz w:val="24"/>
                <w:szCs w:val="24"/>
              </w:rPr>
              <w:t>属于四类过程性信息</w:t>
            </w:r>
            <w:bookmarkEnd w:id="7"/>
          </w:p>
        </w:tc>
        <w:tc>
          <w:tcPr>
            <w:tcW w:w="597" w:type="dxa"/>
            <w:shd w:val="clear" w:color="auto" w:fill="auto"/>
            <w:tcMar>
              <w:left w:w="108" w:type="dxa"/>
              <w:right w:w="108" w:type="dxa"/>
            </w:tcMar>
            <w:vAlign w:val="center"/>
          </w:tcPr>
          <w:p w14:paraId="3582FA2A">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70" w:type="dxa"/>
            <w:shd w:val="clear" w:color="auto" w:fill="auto"/>
            <w:tcMar>
              <w:left w:w="108" w:type="dxa"/>
              <w:right w:w="108" w:type="dxa"/>
            </w:tcMar>
            <w:vAlign w:val="center"/>
          </w:tcPr>
          <w:p w14:paraId="432140E6">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86" w:type="dxa"/>
            <w:shd w:val="clear" w:color="auto" w:fill="auto"/>
            <w:tcMar>
              <w:left w:w="108" w:type="dxa"/>
              <w:right w:w="108" w:type="dxa"/>
            </w:tcMar>
            <w:vAlign w:val="center"/>
          </w:tcPr>
          <w:p w14:paraId="563A2773">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99" w:type="dxa"/>
            <w:shd w:val="clear" w:color="auto" w:fill="auto"/>
            <w:tcMar>
              <w:left w:w="108" w:type="dxa"/>
              <w:right w:w="108" w:type="dxa"/>
            </w:tcMar>
            <w:vAlign w:val="center"/>
          </w:tcPr>
          <w:p w14:paraId="1ECD74EA">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699" w:type="dxa"/>
            <w:shd w:val="clear" w:color="auto" w:fill="auto"/>
            <w:tcMar>
              <w:left w:w="108" w:type="dxa"/>
              <w:right w:w="108" w:type="dxa"/>
            </w:tcMar>
            <w:vAlign w:val="center"/>
          </w:tcPr>
          <w:p w14:paraId="63957FB2">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62" w:type="dxa"/>
            <w:shd w:val="clear" w:color="auto" w:fill="auto"/>
            <w:tcMar>
              <w:left w:w="108" w:type="dxa"/>
              <w:right w:w="108" w:type="dxa"/>
            </w:tcMar>
            <w:vAlign w:val="center"/>
          </w:tcPr>
          <w:p w14:paraId="73D3A1E5">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841" w:type="dxa"/>
            <w:shd w:val="clear" w:color="auto" w:fill="auto"/>
            <w:tcMar>
              <w:left w:w="108" w:type="dxa"/>
              <w:right w:w="108" w:type="dxa"/>
            </w:tcMar>
            <w:vAlign w:val="center"/>
          </w:tcPr>
          <w:p w14:paraId="238F99A2">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r>
      <w:tr w14:paraId="152B75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40" w:type="dxa"/>
            <w:vMerge w:val="continue"/>
            <w:shd w:val="clear" w:color="auto" w:fill="auto"/>
            <w:tcMar>
              <w:left w:w="108" w:type="dxa"/>
              <w:right w:w="108" w:type="dxa"/>
            </w:tcMar>
            <w:vAlign w:val="center"/>
          </w:tcPr>
          <w:p w14:paraId="27F87C5C">
            <w:pPr>
              <w:keepNext w:val="0"/>
              <w:keepLines w:val="0"/>
              <w:pageBreakBefore w:val="0"/>
              <w:kinsoku/>
              <w:wordWrap/>
              <w:overflowPunct/>
              <w:topLinePunct w:val="0"/>
              <w:autoSpaceDE/>
              <w:autoSpaceDN/>
              <w:bidi w:val="0"/>
              <w:adjustRightInd/>
              <w:snapToGrid/>
              <w:spacing w:line="260" w:lineRule="exact"/>
              <w:textAlignment w:val="auto"/>
              <w:rPr>
                <w:rFonts w:ascii="黑体" w:hAnsi="黑体" w:eastAsia="黑体"/>
                <w:sz w:val="24"/>
                <w:szCs w:val="24"/>
              </w:rPr>
            </w:pPr>
          </w:p>
        </w:tc>
        <w:tc>
          <w:tcPr>
            <w:tcW w:w="1040" w:type="dxa"/>
            <w:vMerge w:val="continue"/>
            <w:shd w:val="clear" w:color="auto" w:fill="auto"/>
            <w:tcMar>
              <w:left w:w="108" w:type="dxa"/>
              <w:right w:w="108" w:type="dxa"/>
            </w:tcMar>
            <w:vAlign w:val="center"/>
          </w:tcPr>
          <w:p w14:paraId="0B7D6052">
            <w:pPr>
              <w:keepNext w:val="0"/>
              <w:keepLines w:val="0"/>
              <w:pageBreakBefore w:val="0"/>
              <w:kinsoku/>
              <w:wordWrap/>
              <w:overflowPunct/>
              <w:topLinePunct w:val="0"/>
              <w:autoSpaceDE/>
              <w:autoSpaceDN/>
              <w:bidi w:val="0"/>
              <w:adjustRightInd/>
              <w:snapToGrid/>
              <w:spacing w:line="260" w:lineRule="exact"/>
              <w:textAlignment w:val="auto"/>
              <w:rPr>
                <w:rFonts w:ascii="黑体" w:hAnsi="黑体" w:eastAsia="黑体"/>
                <w:sz w:val="24"/>
                <w:szCs w:val="24"/>
              </w:rPr>
            </w:pPr>
          </w:p>
        </w:tc>
        <w:tc>
          <w:tcPr>
            <w:tcW w:w="3665" w:type="dxa"/>
            <w:shd w:val="clear" w:color="auto" w:fill="auto"/>
            <w:tcMar>
              <w:left w:w="108" w:type="dxa"/>
              <w:right w:w="108" w:type="dxa"/>
            </w:tcMar>
            <w:vAlign w:val="center"/>
          </w:tcPr>
          <w:p w14:paraId="350C5F6F">
            <w:pPr>
              <w:keepNext w:val="0"/>
              <w:keepLines w:val="0"/>
              <w:pageBreakBefore w:val="0"/>
              <w:widowControl/>
              <w:kinsoku/>
              <w:wordWrap/>
              <w:overflowPunct/>
              <w:topLinePunct w:val="0"/>
              <w:autoSpaceDE/>
              <w:autoSpaceDN/>
              <w:bidi w:val="0"/>
              <w:adjustRightInd/>
              <w:snapToGrid/>
              <w:spacing w:line="260" w:lineRule="exact"/>
              <w:textAlignment w:val="auto"/>
              <w:rPr>
                <w:rFonts w:ascii="仿宋_GB2312" w:hAnsi="黑体" w:eastAsia="仿宋_GB2312"/>
                <w:kern w:val="0"/>
                <w:sz w:val="24"/>
                <w:szCs w:val="24"/>
              </w:rPr>
            </w:pPr>
            <w:r>
              <w:rPr>
                <w:rFonts w:hint="eastAsia" w:ascii="仿宋_GB2312" w:hAnsi="黑体" w:eastAsia="仿宋_GB2312"/>
                <w:kern w:val="0"/>
                <w:sz w:val="24"/>
                <w:szCs w:val="24"/>
              </w:rPr>
              <w:t>7.属于行政执法案卷</w:t>
            </w:r>
          </w:p>
        </w:tc>
        <w:tc>
          <w:tcPr>
            <w:tcW w:w="597" w:type="dxa"/>
            <w:shd w:val="clear" w:color="auto" w:fill="auto"/>
            <w:tcMar>
              <w:left w:w="108" w:type="dxa"/>
              <w:right w:w="108" w:type="dxa"/>
            </w:tcMar>
            <w:vAlign w:val="center"/>
          </w:tcPr>
          <w:p w14:paraId="0A1DAE1A">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1</w:t>
            </w:r>
          </w:p>
        </w:tc>
        <w:tc>
          <w:tcPr>
            <w:tcW w:w="570" w:type="dxa"/>
            <w:shd w:val="clear" w:color="auto" w:fill="auto"/>
            <w:tcMar>
              <w:left w:w="108" w:type="dxa"/>
              <w:right w:w="108" w:type="dxa"/>
            </w:tcMar>
            <w:vAlign w:val="center"/>
          </w:tcPr>
          <w:p w14:paraId="06DC999F">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86" w:type="dxa"/>
            <w:shd w:val="clear" w:color="auto" w:fill="auto"/>
            <w:tcMar>
              <w:left w:w="108" w:type="dxa"/>
              <w:right w:w="108" w:type="dxa"/>
            </w:tcMar>
            <w:vAlign w:val="center"/>
          </w:tcPr>
          <w:p w14:paraId="12DB19B6">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99" w:type="dxa"/>
            <w:shd w:val="clear" w:color="auto" w:fill="auto"/>
            <w:tcMar>
              <w:left w:w="108" w:type="dxa"/>
              <w:right w:w="108" w:type="dxa"/>
            </w:tcMar>
            <w:vAlign w:val="center"/>
          </w:tcPr>
          <w:p w14:paraId="68448370">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699" w:type="dxa"/>
            <w:shd w:val="clear" w:color="auto" w:fill="auto"/>
            <w:tcMar>
              <w:left w:w="108" w:type="dxa"/>
              <w:right w:w="108" w:type="dxa"/>
            </w:tcMar>
            <w:vAlign w:val="center"/>
          </w:tcPr>
          <w:p w14:paraId="4621C309">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62" w:type="dxa"/>
            <w:shd w:val="clear" w:color="auto" w:fill="auto"/>
            <w:tcMar>
              <w:left w:w="108" w:type="dxa"/>
              <w:right w:w="108" w:type="dxa"/>
            </w:tcMar>
            <w:vAlign w:val="center"/>
          </w:tcPr>
          <w:p w14:paraId="3B5037C7">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841" w:type="dxa"/>
            <w:shd w:val="clear" w:color="auto" w:fill="auto"/>
            <w:tcMar>
              <w:left w:w="108" w:type="dxa"/>
              <w:right w:w="108" w:type="dxa"/>
            </w:tcMar>
            <w:vAlign w:val="center"/>
          </w:tcPr>
          <w:p w14:paraId="2E59BD46">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1</w:t>
            </w:r>
          </w:p>
        </w:tc>
      </w:tr>
      <w:tr w14:paraId="6B6F3D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40" w:type="dxa"/>
            <w:vMerge w:val="continue"/>
            <w:shd w:val="clear" w:color="auto" w:fill="auto"/>
            <w:tcMar>
              <w:left w:w="108" w:type="dxa"/>
              <w:right w:w="108" w:type="dxa"/>
            </w:tcMar>
            <w:vAlign w:val="center"/>
          </w:tcPr>
          <w:p w14:paraId="589D7B7F">
            <w:pPr>
              <w:keepNext w:val="0"/>
              <w:keepLines w:val="0"/>
              <w:pageBreakBefore w:val="0"/>
              <w:kinsoku/>
              <w:wordWrap/>
              <w:overflowPunct/>
              <w:topLinePunct w:val="0"/>
              <w:autoSpaceDE/>
              <w:autoSpaceDN/>
              <w:bidi w:val="0"/>
              <w:adjustRightInd/>
              <w:snapToGrid/>
              <w:spacing w:line="260" w:lineRule="exact"/>
              <w:textAlignment w:val="auto"/>
              <w:rPr>
                <w:rFonts w:ascii="黑体" w:hAnsi="黑体" w:eastAsia="黑体"/>
                <w:sz w:val="24"/>
                <w:szCs w:val="24"/>
              </w:rPr>
            </w:pPr>
          </w:p>
        </w:tc>
        <w:tc>
          <w:tcPr>
            <w:tcW w:w="1040" w:type="dxa"/>
            <w:vMerge w:val="continue"/>
            <w:shd w:val="clear" w:color="auto" w:fill="auto"/>
            <w:tcMar>
              <w:left w:w="108" w:type="dxa"/>
              <w:right w:w="108" w:type="dxa"/>
            </w:tcMar>
            <w:vAlign w:val="center"/>
          </w:tcPr>
          <w:p w14:paraId="17BFE6D6">
            <w:pPr>
              <w:keepNext w:val="0"/>
              <w:keepLines w:val="0"/>
              <w:pageBreakBefore w:val="0"/>
              <w:kinsoku/>
              <w:wordWrap/>
              <w:overflowPunct/>
              <w:topLinePunct w:val="0"/>
              <w:autoSpaceDE/>
              <w:autoSpaceDN/>
              <w:bidi w:val="0"/>
              <w:adjustRightInd/>
              <w:snapToGrid/>
              <w:spacing w:line="260" w:lineRule="exact"/>
              <w:textAlignment w:val="auto"/>
              <w:rPr>
                <w:rFonts w:ascii="黑体" w:hAnsi="黑体" w:eastAsia="黑体"/>
                <w:sz w:val="24"/>
                <w:szCs w:val="24"/>
              </w:rPr>
            </w:pPr>
          </w:p>
        </w:tc>
        <w:tc>
          <w:tcPr>
            <w:tcW w:w="3665" w:type="dxa"/>
            <w:shd w:val="clear" w:color="auto" w:fill="auto"/>
            <w:tcMar>
              <w:left w:w="108" w:type="dxa"/>
              <w:right w:w="108" w:type="dxa"/>
            </w:tcMar>
            <w:vAlign w:val="center"/>
          </w:tcPr>
          <w:p w14:paraId="061F30D3">
            <w:pPr>
              <w:keepNext w:val="0"/>
              <w:keepLines w:val="0"/>
              <w:pageBreakBefore w:val="0"/>
              <w:widowControl/>
              <w:kinsoku/>
              <w:wordWrap/>
              <w:overflowPunct/>
              <w:topLinePunct w:val="0"/>
              <w:autoSpaceDE/>
              <w:autoSpaceDN/>
              <w:bidi w:val="0"/>
              <w:adjustRightInd/>
              <w:snapToGrid/>
              <w:spacing w:line="260" w:lineRule="exact"/>
              <w:textAlignment w:val="auto"/>
              <w:rPr>
                <w:rFonts w:ascii="仿宋_GB2312" w:hAnsi="黑体" w:eastAsia="仿宋_GB2312"/>
                <w:kern w:val="0"/>
                <w:sz w:val="24"/>
                <w:szCs w:val="24"/>
              </w:rPr>
            </w:pPr>
            <w:r>
              <w:rPr>
                <w:rFonts w:hint="eastAsia" w:ascii="仿宋_GB2312" w:hAnsi="黑体" w:eastAsia="仿宋_GB2312"/>
                <w:kern w:val="0"/>
                <w:sz w:val="24"/>
                <w:szCs w:val="24"/>
              </w:rPr>
              <w:t>8.</w:t>
            </w:r>
            <w:bookmarkStart w:id="8" w:name="_Hlk66975211"/>
            <w:r>
              <w:rPr>
                <w:rFonts w:hint="eastAsia" w:ascii="仿宋_GB2312" w:hAnsi="黑体" w:eastAsia="仿宋_GB2312"/>
                <w:kern w:val="0"/>
                <w:sz w:val="24"/>
                <w:szCs w:val="24"/>
              </w:rPr>
              <w:t>属于行政查询事项</w:t>
            </w:r>
            <w:bookmarkEnd w:id="8"/>
          </w:p>
        </w:tc>
        <w:tc>
          <w:tcPr>
            <w:tcW w:w="597" w:type="dxa"/>
            <w:shd w:val="clear" w:color="auto" w:fill="auto"/>
            <w:tcMar>
              <w:left w:w="108" w:type="dxa"/>
              <w:right w:w="108" w:type="dxa"/>
            </w:tcMar>
            <w:vAlign w:val="center"/>
          </w:tcPr>
          <w:p w14:paraId="29C88622">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70" w:type="dxa"/>
            <w:shd w:val="clear" w:color="auto" w:fill="auto"/>
            <w:tcMar>
              <w:left w:w="108" w:type="dxa"/>
              <w:right w:w="108" w:type="dxa"/>
            </w:tcMar>
            <w:vAlign w:val="center"/>
          </w:tcPr>
          <w:p w14:paraId="56ACFFF9">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86" w:type="dxa"/>
            <w:shd w:val="clear" w:color="auto" w:fill="auto"/>
            <w:tcMar>
              <w:left w:w="108" w:type="dxa"/>
              <w:right w:w="108" w:type="dxa"/>
            </w:tcMar>
            <w:vAlign w:val="center"/>
          </w:tcPr>
          <w:p w14:paraId="0685E57F">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99" w:type="dxa"/>
            <w:shd w:val="clear" w:color="auto" w:fill="auto"/>
            <w:tcMar>
              <w:left w:w="108" w:type="dxa"/>
              <w:right w:w="108" w:type="dxa"/>
            </w:tcMar>
            <w:vAlign w:val="center"/>
          </w:tcPr>
          <w:p w14:paraId="40769C3E">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699" w:type="dxa"/>
            <w:shd w:val="clear" w:color="auto" w:fill="auto"/>
            <w:tcMar>
              <w:left w:w="108" w:type="dxa"/>
              <w:right w:w="108" w:type="dxa"/>
            </w:tcMar>
            <w:vAlign w:val="center"/>
          </w:tcPr>
          <w:p w14:paraId="2644622D">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62" w:type="dxa"/>
            <w:shd w:val="clear" w:color="auto" w:fill="auto"/>
            <w:tcMar>
              <w:left w:w="108" w:type="dxa"/>
              <w:right w:w="108" w:type="dxa"/>
            </w:tcMar>
            <w:vAlign w:val="center"/>
          </w:tcPr>
          <w:p w14:paraId="750C0082">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841" w:type="dxa"/>
            <w:shd w:val="clear" w:color="auto" w:fill="auto"/>
            <w:tcMar>
              <w:left w:w="108" w:type="dxa"/>
              <w:right w:w="108" w:type="dxa"/>
            </w:tcMar>
            <w:vAlign w:val="center"/>
          </w:tcPr>
          <w:p w14:paraId="4716AB98">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r>
      <w:tr w14:paraId="4F0CBF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40" w:type="dxa"/>
            <w:vMerge w:val="continue"/>
            <w:shd w:val="clear" w:color="auto" w:fill="auto"/>
            <w:tcMar>
              <w:left w:w="108" w:type="dxa"/>
              <w:right w:w="108" w:type="dxa"/>
            </w:tcMar>
            <w:vAlign w:val="center"/>
          </w:tcPr>
          <w:p w14:paraId="2BDDA7EC">
            <w:pPr>
              <w:keepNext w:val="0"/>
              <w:keepLines w:val="0"/>
              <w:pageBreakBefore w:val="0"/>
              <w:kinsoku/>
              <w:wordWrap/>
              <w:overflowPunct/>
              <w:topLinePunct w:val="0"/>
              <w:autoSpaceDE/>
              <w:autoSpaceDN/>
              <w:bidi w:val="0"/>
              <w:adjustRightInd/>
              <w:snapToGrid/>
              <w:spacing w:line="260" w:lineRule="exact"/>
              <w:textAlignment w:val="auto"/>
              <w:rPr>
                <w:rFonts w:ascii="黑体" w:hAnsi="黑体" w:eastAsia="黑体"/>
                <w:sz w:val="24"/>
                <w:szCs w:val="24"/>
              </w:rPr>
            </w:pPr>
          </w:p>
        </w:tc>
        <w:tc>
          <w:tcPr>
            <w:tcW w:w="1040" w:type="dxa"/>
            <w:vMerge w:val="restart"/>
            <w:shd w:val="clear" w:color="auto" w:fill="auto"/>
            <w:tcMar>
              <w:left w:w="108" w:type="dxa"/>
              <w:right w:w="108" w:type="dxa"/>
            </w:tcMar>
            <w:vAlign w:val="center"/>
          </w:tcPr>
          <w:p w14:paraId="192C2FFF">
            <w:pPr>
              <w:keepNext w:val="0"/>
              <w:keepLines w:val="0"/>
              <w:pageBreakBefore w:val="0"/>
              <w:widowControl/>
              <w:kinsoku/>
              <w:wordWrap/>
              <w:overflowPunct/>
              <w:topLinePunct w:val="0"/>
              <w:autoSpaceDE/>
              <w:autoSpaceDN/>
              <w:bidi w:val="0"/>
              <w:adjustRightInd/>
              <w:snapToGrid/>
              <w:spacing w:line="260" w:lineRule="exact"/>
              <w:ind w:left="-107" w:leftChars="-51"/>
              <w:textAlignment w:val="auto"/>
              <w:rPr>
                <w:rFonts w:ascii="黑体" w:hAnsi="黑体" w:eastAsia="黑体"/>
                <w:sz w:val="24"/>
                <w:szCs w:val="24"/>
              </w:rPr>
            </w:pPr>
            <w:r>
              <w:rPr>
                <w:rFonts w:hint="eastAsia" w:ascii="黑体" w:hAnsi="黑体" w:eastAsia="黑体"/>
                <w:kern w:val="0"/>
                <w:sz w:val="24"/>
                <w:szCs w:val="24"/>
              </w:rPr>
              <w:t>（四）无法提供</w:t>
            </w:r>
          </w:p>
        </w:tc>
        <w:tc>
          <w:tcPr>
            <w:tcW w:w="3665" w:type="dxa"/>
            <w:shd w:val="clear" w:color="auto" w:fill="auto"/>
            <w:tcMar>
              <w:left w:w="108" w:type="dxa"/>
              <w:right w:w="108" w:type="dxa"/>
            </w:tcMar>
            <w:vAlign w:val="center"/>
          </w:tcPr>
          <w:p w14:paraId="0D90E731">
            <w:pPr>
              <w:keepNext w:val="0"/>
              <w:keepLines w:val="0"/>
              <w:pageBreakBefore w:val="0"/>
              <w:widowControl/>
              <w:kinsoku/>
              <w:wordWrap/>
              <w:overflowPunct/>
              <w:topLinePunct w:val="0"/>
              <w:autoSpaceDE/>
              <w:autoSpaceDN/>
              <w:bidi w:val="0"/>
              <w:adjustRightInd/>
              <w:snapToGrid/>
              <w:spacing w:line="260" w:lineRule="exact"/>
              <w:textAlignment w:val="auto"/>
              <w:rPr>
                <w:rFonts w:ascii="仿宋_GB2312" w:hAnsi="黑体" w:eastAsia="仿宋_GB2312"/>
                <w:kern w:val="0"/>
                <w:sz w:val="24"/>
                <w:szCs w:val="24"/>
              </w:rPr>
            </w:pPr>
            <w:r>
              <w:rPr>
                <w:rFonts w:hint="eastAsia" w:ascii="仿宋_GB2312" w:hAnsi="黑体" w:eastAsia="仿宋_GB2312"/>
                <w:kern w:val="0"/>
                <w:sz w:val="24"/>
                <w:szCs w:val="24"/>
              </w:rPr>
              <w:t>1.本机关不掌握相关政府信息</w:t>
            </w:r>
          </w:p>
        </w:tc>
        <w:tc>
          <w:tcPr>
            <w:tcW w:w="597" w:type="dxa"/>
            <w:shd w:val="clear" w:color="auto" w:fill="auto"/>
            <w:tcMar>
              <w:left w:w="108" w:type="dxa"/>
              <w:right w:w="108" w:type="dxa"/>
            </w:tcMar>
            <w:vAlign w:val="center"/>
          </w:tcPr>
          <w:p w14:paraId="0C57BAEA">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24</w:t>
            </w:r>
          </w:p>
        </w:tc>
        <w:tc>
          <w:tcPr>
            <w:tcW w:w="570" w:type="dxa"/>
            <w:shd w:val="clear" w:color="auto" w:fill="auto"/>
            <w:tcMar>
              <w:left w:w="108" w:type="dxa"/>
              <w:right w:w="108" w:type="dxa"/>
            </w:tcMar>
            <w:vAlign w:val="center"/>
          </w:tcPr>
          <w:p w14:paraId="21DEE7C8">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86" w:type="dxa"/>
            <w:shd w:val="clear" w:color="auto" w:fill="auto"/>
            <w:tcMar>
              <w:left w:w="108" w:type="dxa"/>
              <w:right w:w="108" w:type="dxa"/>
            </w:tcMar>
            <w:vAlign w:val="center"/>
          </w:tcPr>
          <w:p w14:paraId="78608861">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99" w:type="dxa"/>
            <w:shd w:val="clear" w:color="auto" w:fill="auto"/>
            <w:tcMar>
              <w:left w:w="108" w:type="dxa"/>
              <w:right w:w="108" w:type="dxa"/>
            </w:tcMar>
            <w:vAlign w:val="center"/>
          </w:tcPr>
          <w:p w14:paraId="62662C2D">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699" w:type="dxa"/>
            <w:shd w:val="clear" w:color="auto" w:fill="auto"/>
            <w:tcMar>
              <w:left w:w="108" w:type="dxa"/>
              <w:right w:w="108" w:type="dxa"/>
            </w:tcMar>
            <w:vAlign w:val="center"/>
          </w:tcPr>
          <w:p w14:paraId="7A476803">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62" w:type="dxa"/>
            <w:shd w:val="clear" w:color="auto" w:fill="auto"/>
            <w:tcMar>
              <w:left w:w="108" w:type="dxa"/>
              <w:right w:w="108" w:type="dxa"/>
            </w:tcMar>
            <w:vAlign w:val="center"/>
          </w:tcPr>
          <w:p w14:paraId="7B539B29">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841" w:type="dxa"/>
            <w:shd w:val="clear" w:color="auto" w:fill="auto"/>
            <w:tcMar>
              <w:left w:w="108" w:type="dxa"/>
              <w:right w:w="108" w:type="dxa"/>
            </w:tcMar>
            <w:vAlign w:val="center"/>
          </w:tcPr>
          <w:p w14:paraId="50080E98">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24</w:t>
            </w:r>
          </w:p>
        </w:tc>
      </w:tr>
      <w:tr w14:paraId="530D75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40" w:type="dxa"/>
            <w:vMerge w:val="continue"/>
            <w:shd w:val="clear" w:color="auto" w:fill="auto"/>
            <w:tcMar>
              <w:left w:w="108" w:type="dxa"/>
              <w:right w:w="108" w:type="dxa"/>
            </w:tcMar>
            <w:vAlign w:val="center"/>
          </w:tcPr>
          <w:p w14:paraId="0386704D">
            <w:pPr>
              <w:keepNext w:val="0"/>
              <w:keepLines w:val="0"/>
              <w:pageBreakBefore w:val="0"/>
              <w:kinsoku/>
              <w:wordWrap/>
              <w:overflowPunct/>
              <w:topLinePunct w:val="0"/>
              <w:autoSpaceDE/>
              <w:autoSpaceDN/>
              <w:bidi w:val="0"/>
              <w:adjustRightInd/>
              <w:snapToGrid/>
              <w:spacing w:line="260" w:lineRule="exact"/>
              <w:textAlignment w:val="auto"/>
              <w:rPr>
                <w:rFonts w:ascii="黑体" w:hAnsi="黑体" w:eastAsia="黑体"/>
                <w:sz w:val="24"/>
                <w:szCs w:val="24"/>
              </w:rPr>
            </w:pPr>
          </w:p>
        </w:tc>
        <w:tc>
          <w:tcPr>
            <w:tcW w:w="1040" w:type="dxa"/>
            <w:vMerge w:val="continue"/>
            <w:shd w:val="clear" w:color="auto" w:fill="auto"/>
            <w:tcMar>
              <w:left w:w="108" w:type="dxa"/>
              <w:right w:w="108" w:type="dxa"/>
            </w:tcMar>
            <w:vAlign w:val="center"/>
          </w:tcPr>
          <w:p w14:paraId="49BEDCD5">
            <w:pPr>
              <w:keepNext w:val="0"/>
              <w:keepLines w:val="0"/>
              <w:pageBreakBefore w:val="0"/>
              <w:kinsoku/>
              <w:wordWrap/>
              <w:overflowPunct/>
              <w:topLinePunct w:val="0"/>
              <w:autoSpaceDE/>
              <w:autoSpaceDN/>
              <w:bidi w:val="0"/>
              <w:adjustRightInd/>
              <w:snapToGrid/>
              <w:spacing w:line="260" w:lineRule="exact"/>
              <w:ind w:left="-107" w:leftChars="-51"/>
              <w:textAlignment w:val="auto"/>
              <w:rPr>
                <w:rFonts w:ascii="黑体" w:hAnsi="黑体" w:eastAsia="黑体"/>
                <w:sz w:val="24"/>
                <w:szCs w:val="24"/>
              </w:rPr>
            </w:pPr>
          </w:p>
        </w:tc>
        <w:tc>
          <w:tcPr>
            <w:tcW w:w="3665" w:type="dxa"/>
            <w:shd w:val="clear" w:color="auto" w:fill="auto"/>
            <w:tcMar>
              <w:left w:w="108" w:type="dxa"/>
              <w:right w:w="108" w:type="dxa"/>
            </w:tcMar>
            <w:vAlign w:val="center"/>
          </w:tcPr>
          <w:p w14:paraId="768D6CA4">
            <w:pPr>
              <w:keepNext w:val="0"/>
              <w:keepLines w:val="0"/>
              <w:pageBreakBefore w:val="0"/>
              <w:widowControl/>
              <w:kinsoku/>
              <w:wordWrap/>
              <w:overflowPunct/>
              <w:topLinePunct w:val="0"/>
              <w:autoSpaceDE/>
              <w:autoSpaceDN/>
              <w:bidi w:val="0"/>
              <w:adjustRightInd/>
              <w:snapToGrid/>
              <w:spacing w:line="260" w:lineRule="exact"/>
              <w:textAlignment w:val="auto"/>
              <w:rPr>
                <w:rFonts w:ascii="仿宋_GB2312" w:hAnsi="黑体" w:eastAsia="仿宋_GB2312"/>
                <w:kern w:val="0"/>
                <w:sz w:val="24"/>
                <w:szCs w:val="24"/>
              </w:rPr>
            </w:pPr>
            <w:r>
              <w:rPr>
                <w:rFonts w:hint="eastAsia" w:ascii="仿宋_GB2312" w:hAnsi="黑体" w:eastAsia="仿宋_GB2312"/>
                <w:kern w:val="0"/>
                <w:sz w:val="24"/>
                <w:szCs w:val="24"/>
              </w:rPr>
              <w:t>2.</w:t>
            </w:r>
            <w:bookmarkStart w:id="9" w:name="_Hlk66975392"/>
            <w:r>
              <w:rPr>
                <w:rFonts w:hint="eastAsia" w:ascii="仿宋_GB2312" w:hAnsi="黑体" w:eastAsia="仿宋_GB2312"/>
                <w:kern w:val="0"/>
                <w:sz w:val="24"/>
                <w:szCs w:val="24"/>
              </w:rPr>
              <w:t>没有现成信息需要另行制作</w:t>
            </w:r>
            <w:bookmarkEnd w:id="9"/>
          </w:p>
        </w:tc>
        <w:tc>
          <w:tcPr>
            <w:tcW w:w="597" w:type="dxa"/>
            <w:shd w:val="clear" w:color="auto" w:fill="auto"/>
            <w:tcMar>
              <w:left w:w="108" w:type="dxa"/>
              <w:right w:w="108" w:type="dxa"/>
            </w:tcMar>
            <w:vAlign w:val="center"/>
          </w:tcPr>
          <w:p w14:paraId="4BE40FE8">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1</w:t>
            </w:r>
          </w:p>
        </w:tc>
        <w:tc>
          <w:tcPr>
            <w:tcW w:w="570" w:type="dxa"/>
            <w:shd w:val="clear" w:color="auto" w:fill="auto"/>
            <w:tcMar>
              <w:left w:w="108" w:type="dxa"/>
              <w:right w:w="108" w:type="dxa"/>
            </w:tcMar>
            <w:vAlign w:val="center"/>
          </w:tcPr>
          <w:p w14:paraId="6CFC7C66">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86" w:type="dxa"/>
            <w:shd w:val="clear" w:color="auto" w:fill="auto"/>
            <w:tcMar>
              <w:left w:w="108" w:type="dxa"/>
              <w:right w:w="108" w:type="dxa"/>
            </w:tcMar>
            <w:vAlign w:val="center"/>
          </w:tcPr>
          <w:p w14:paraId="359C4B39">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99" w:type="dxa"/>
            <w:shd w:val="clear" w:color="auto" w:fill="auto"/>
            <w:tcMar>
              <w:left w:w="108" w:type="dxa"/>
              <w:right w:w="108" w:type="dxa"/>
            </w:tcMar>
            <w:vAlign w:val="center"/>
          </w:tcPr>
          <w:p w14:paraId="71DAF924">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699" w:type="dxa"/>
            <w:shd w:val="clear" w:color="auto" w:fill="auto"/>
            <w:tcMar>
              <w:left w:w="108" w:type="dxa"/>
              <w:right w:w="108" w:type="dxa"/>
            </w:tcMar>
            <w:vAlign w:val="center"/>
          </w:tcPr>
          <w:p w14:paraId="527C3264">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62" w:type="dxa"/>
            <w:shd w:val="clear" w:color="auto" w:fill="auto"/>
            <w:tcMar>
              <w:left w:w="108" w:type="dxa"/>
              <w:right w:w="108" w:type="dxa"/>
            </w:tcMar>
            <w:vAlign w:val="center"/>
          </w:tcPr>
          <w:p w14:paraId="56523915">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841" w:type="dxa"/>
            <w:shd w:val="clear" w:color="auto" w:fill="auto"/>
            <w:tcMar>
              <w:left w:w="108" w:type="dxa"/>
              <w:right w:w="108" w:type="dxa"/>
            </w:tcMar>
            <w:vAlign w:val="center"/>
          </w:tcPr>
          <w:p w14:paraId="05739E8C">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1</w:t>
            </w:r>
          </w:p>
        </w:tc>
      </w:tr>
      <w:tr w14:paraId="43B489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40" w:type="dxa"/>
            <w:vMerge w:val="continue"/>
            <w:shd w:val="clear" w:color="auto" w:fill="auto"/>
            <w:tcMar>
              <w:left w:w="108" w:type="dxa"/>
              <w:right w:w="108" w:type="dxa"/>
            </w:tcMar>
            <w:vAlign w:val="center"/>
          </w:tcPr>
          <w:p w14:paraId="6770C78B">
            <w:pPr>
              <w:keepNext w:val="0"/>
              <w:keepLines w:val="0"/>
              <w:pageBreakBefore w:val="0"/>
              <w:kinsoku/>
              <w:wordWrap/>
              <w:overflowPunct/>
              <w:topLinePunct w:val="0"/>
              <w:autoSpaceDE/>
              <w:autoSpaceDN/>
              <w:bidi w:val="0"/>
              <w:adjustRightInd/>
              <w:snapToGrid/>
              <w:spacing w:line="260" w:lineRule="exact"/>
              <w:textAlignment w:val="auto"/>
              <w:rPr>
                <w:rFonts w:ascii="黑体" w:hAnsi="黑体" w:eastAsia="黑体"/>
                <w:sz w:val="24"/>
                <w:szCs w:val="24"/>
              </w:rPr>
            </w:pPr>
          </w:p>
        </w:tc>
        <w:tc>
          <w:tcPr>
            <w:tcW w:w="1040" w:type="dxa"/>
            <w:vMerge w:val="continue"/>
            <w:shd w:val="clear" w:color="auto" w:fill="auto"/>
            <w:tcMar>
              <w:left w:w="108" w:type="dxa"/>
              <w:right w:w="108" w:type="dxa"/>
            </w:tcMar>
            <w:vAlign w:val="center"/>
          </w:tcPr>
          <w:p w14:paraId="593E784F">
            <w:pPr>
              <w:keepNext w:val="0"/>
              <w:keepLines w:val="0"/>
              <w:pageBreakBefore w:val="0"/>
              <w:kinsoku/>
              <w:wordWrap/>
              <w:overflowPunct/>
              <w:topLinePunct w:val="0"/>
              <w:autoSpaceDE/>
              <w:autoSpaceDN/>
              <w:bidi w:val="0"/>
              <w:adjustRightInd/>
              <w:snapToGrid/>
              <w:spacing w:line="260" w:lineRule="exact"/>
              <w:ind w:left="-107" w:leftChars="-51"/>
              <w:textAlignment w:val="auto"/>
              <w:rPr>
                <w:rFonts w:ascii="黑体" w:hAnsi="黑体" w:eastAsia="黑体"/>
                <w:sz w:val="24"/>
                <w:szCs w:val="24"/>
              </w:rPr>
            </w:pPr>
          </w:p>
        </w:tc>
        <w:tc>
          <w:tcPr>
            <w:tcW w:w="3665" w:type="dxa"/>
            <w:shd w:val="clear" w:color="auto" w:fill="auto"/>
            <w:tcMar>
              <w:left w:w="108" w:type="dxa"/>
              <w:right w:w="108" w:type="dxa"/>
            </w:tcMar>
            <w:vAlign w:val="center"/>
          </w:tcPr>
          <w:p w14:paraId="5DACE7FA">
            <w:pPr>
              <w:keepNext w:val="0"/>
              <w:keepLines w:val="0"/>
              <w:pageBreakBefore w:val="0"/>
              <w:widowControl/>
              <w:kinsoku/>
              <w:wordWrap/>
              <w:overflowPunct/>
              <w:topLinePunct w:val="0"/>
              <w:autoSpaceDE/>
              <w:autoSpaceDN/>
              <w:bidi w:val="0"/>
              <w:adjustRightInd/>
              <w:snapToGrid/>
              <w:spacing w:line="260" w:lineRule="exact"/>
              <w:textAlignment w:val="auto"/>
              <w:rPr>
                <w:rFonts w:ascii="仿宋_GB2312" w:hAnsi="黑体" w:eastAsia="仿宋_GB2312"/>
                <w:kern w:val="0"/>
                <w:sz w:val="24"/>
                <w:szCs w:val="24"/>
              </w:rPr>
            </w:pPr>
            <w:r>
              <w:rPr>
                <w:rFonts w:hint="eastAsia" w:ascii="仿宋_GB2312" w:hAnsi="黑体" w:eastAsia="仿宋_GB2312"/>
                <w:kern w:val="0"/>
                <w:sz w:val="24"/>
                <w:szCs w:val="24"/>
              </w:rPr>
              <w:t>3.</w:t>
            </w:r>
            <w:bookmarkStart w:id="10" w:name="_Hlk66975466"/>
            <w:r>
              <w:rPr>
                <w:rFonts w:hint="eastAsia" w:ascii="仿宋_GB2312" w:hAnsi="黑体" w:eastAsia="仿宋_GB2312"/>
                <w:kern w:val="0"/>
                <w:sz w:val="24"/>
                <w:szCs w:val="24"/>
              </w:rPr>
              <w:t>补正后申请内容仍不明确</w:t>
            </w:r>
            <w:bookmarkEnd w:id="10"/>
          </w:p>
        </w:tc>
        <w:tc>
          <w:tcPr>
            <w:tcW w:w="597" w:type="dxa"/>
            <w:shd w:val="clear" w:color="auto" w:fill="auto"/>
            <w:tcMar>
              <w:left w:w="108" w:type="dxa"/>
              <w:right w:w="108" w:type="dxa"/>
            </w:tcMar>
            <w:vAlign w:val="center"/>
          </w:tcPr>
          <w:p w14:paraId="31F61160">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70" w:type="dxa"/>
            <w:shd w:val="clear" w:color="auto" w:fill="auto"/>
            <w:tcMar>
              <w:left w:w="108" w:type="dxa"/>
              <w:right w:w="108" w:type="dxa"/>
            </w:tcMar>
            <w:vAlign w:val="center"/>
          </w:tcPr>
          <w:p w14:paraId="7F90D293">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86" w:type="dxa"/>
            <w:shd w:val="clear" w:color="auto" w:fill="auto"/>
            <w:tcMar>
              <w:left w:w="108" w:type="dxa"/>
              <w:right w:w="108" w:type="dxa"/>
            </w:tcMar>
            <w:vAlign w:val="center"/>
          </w:tcPr>
          <w:p w14:paraId="1AFD60C1">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99" w:type="dxa"/>
            <w:shd w:val="clear" w:color="auto" w:fill="auto"/>
            <w:tcMar>
              <w:left w:w="108" w:type="dxa"/>
              <w:right w:w="108" w:type="dxa"/>
            </w:tcMar>
            <w:vAlign w:val="center"/>
          </w:tcPr>
          <w:p w14:paraId="50F39DA9">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699" w:type="dxa"/>
            <w:shd w:val="clear" w:color="auto" w:fill="auto"/>
            <w:tcMar>
              <w:left w:w="108" w:type="dxa"/>
              <w:right w:w="108" w:type="dxa"/>
            </w:tcMar>
            <w:vAlign w:val="center"/>
          </w:tcPr>
          <w:p w14:paraId="7D5873DB">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62" w:type="dxa"/>
            <w:shd w:val="clear" w:color="auto" w:fill="auto"/>
            <w:tcMar>
              <w:left w:w="108" w:type="dxa"/>
              <w:right w:w="108" w:type="dxa"/>
            </w:tcMar>
            <w:vAlign w:val="center"/>
          </w:tcPr>
          <w:p w14:paraId="76CACFCC">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841" w:type="dxa"/>
            <w:shd w:val="clear" w:color="auto" w:fill="auto"/>
            <w:tcMar>
              <w:left w:w="108" w:type="dxa"/>
              <w:right w:w="108" w:type="dxa"/>
            </w:tcMar>
            <w:vAlign w:val="center"/>
          </w:tcPr>
          <w:p w14:paraId="6CDA9B30">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r>
      <w:tr w14:paraId="0647C4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40" w:type="dxa"/>
            <w:vMerge w:val="continue"/>
            <w:shd w:val="clear" w:color="auto" w:fill="auto"/>
            <w:tcMar>
              <w:left w:w="108" w:type="dxa"/>
              <w:right w:w="108" w:type="dxa"/>
            </w:tcMar>
            <w:vAlign w:val="center"/>
          </w:tcPr>
          <w:p w14:paraId="5F8E1674">
            <w:pPr>
              <w:keepNext w:val="0"/>
              <w:keepLines w:val="0"/>
              <w:pageBreakBefore w:val="0"/>
              <w:kinsoku/>
              <w:wordWrap/>
              <w:overflowPunct/>
              <w:topLinePunct w:val="0"/>
              <w:autoSpaceDE/>
              <w:autoSpaceDN/>
              <w:bidi w:val="0"/>
              <w:adjustRightInd/>
              <w:snapToGrid/>
              <w:spacing w:line="260" w:lineRule="exact"/>
              <w:textAlignment w:val="auto"/>
              <w:rPr>
                <w:rFonts w:ascii="黑体" w:hAnsi="黑体" w:eastAsia="黑体"/>
                <w:sz w:val="24"/>
                <w:szCs w:val="24"/>
              </w:rPr>
            </w:pPr>
          </w:p>
        </w:tc>
        <w:tc>
          <w:tcPr>
            <w:tcW w:w="1040" w:type="dxa"/>
            <w:vMerge w:val="restart"/>
            <w:shd w:val="clear" w:color="auto" w:fill="auto"/>
            <w:tcMar>
              <w:left w:w="108" w:type="dxa"/>
              <w:right w:w="108" w:type="dxa"/>
            </w:tcMar>
            <w:vAlign w:val="center"/>
          </w:tcPr>
          <w:p w14:paraId="020CFDE3">
            <w:pPr>
              <w:keepNext w:val="0"/>
              <w:keepLines w:val="0"/>
              <w:pageBreakBefore w:val="0"/>
              <w:widowControl/>
              <w:kinsoku/>
              <w:wordWrap/>
              <w:overflowPunct/>
              <w:topLinePunct w:val="0"/>
              <w:autoSpaceDE/>
              <w:autoSpaceDN/>
              <w:bidi w:val="0"/>
              <w:adjustRightInd/>
              <w:snapToGrid/>
              <w:spacing w:line="260" w:lineRule="exact"/>
              <w:ind w:left="-107" w:leftChars="-51"/>
              <w:textAlignment w:val="auto"/>
              <w:rPr>
                <w:rFonts w:ascii="黑体" w:hAnsi="黑体" w:eastAsia="黑体"/>
                <w:sz w:val="24"/>
                <w:szCs w:val="24"/>
              </w:rPr>
            </w:pPr>
            <w:r>
              <w:rPr>
                <w:rFonts w:hint="eastAsia" w:ascii="黑体" w:hAnsi="黑体" w:eastAsia="黑体"/>
                <w:kern w:val="0"/>
                <w:sz w:val="24"/>
                <w:szCs w:val="24"/>
              </w:rPr>
              <w:t>（五）不予处理</w:t>
            </w:r>
          </w:p>
        </w:tc>
        <w:tc>
          <w:tcPr>
            <w:tcW w:w="3665" w:type="dxa"/>
            <w:shd w:val="clear" w:color="auto" w:fill="auto"/>
            <w:tcMar>
              <w:left w:w="108" w:type="dxa"/>
              <w:right w:w="108" w:type="dxa"/>
            </w:tcMar>
            <w:vAlign w:val="center"/>
          </w:tcPr>
          <w:p w14:paraId="77541CF5">
            <w:pPr>
              <w:keepNext w:val="0"/>
              <w:keepLines w:val="0"/>
              <w:pageBreakBefore w:val="0"/>
              <w:widowControl/>
              <w:kinsoku/>
              <w:wordWrap/>
              <w:overflowPunct/>
              <w:topLinePunct w:val="0"/>
              <w:autoSpaceDE/>
              <w:autoSpaceDN/>
              <w:bidi w:val="0"/>
              <w:adjustRightInd/>
              <w:snapToGrid/>
              <w:spacing w:line="260" w:lineRule="exact"/>
              <w:textAlignment w:val="auto"/>
              <w:rPr>
                <w:rFonts w:ascii="仿宋_GB2312" w:hAnsi="黑体" w:eastAsia="仿宋_GB2312"/>
                <w:kern w:val="0"/>
                <w:sz w:val="24"/>
                <w:szCs w:val="24"/>
              </w:rPr>
            </w:pPr>
            <w:r>
              <w:rPr>
                <w:rFonts w:hint="eastAsia" w:ascii="仿宋_GB2312" w:hAnsi="黑体" w:eastAsia="仿宋_GB2312"/>
                <w:kern w:val="0"/>
                <w:sz w:val="24"/>
                <w:szCs w:val="24"/>
              </w:rPr>
              <w:t>1.</w:t>
            </w:r>
            <w:bookmarkStart w:id="11" w:name="_Hlk66975537"/>
            <w:r>
              <w:rPr>
                <w:rFonts w:hint="eastAsia" w:ascii="仿宋_GB2312" w:hAnsi="黑体" w:eastAsia="仿宋_GB2312"/>
                <w:kern w:val="0"/>
                <w:sz w:val="24"/>
                <w:szCs w:val="24"/>
              </w:rPr>
              <w:t>信访举报投诉类申请</w:t>
            </w:r>
            <w:bookmarkEnd w:id="11"/>
          </w:p>
        </w:tc>
        <w:tc>
          <w:tcPr>
            <w:tcW w:w="597" w:type="dxa"/>
            <w:shd w:val="clear" w:color="auto" w:fill="auto"/>
            <w:tcMar>
              <w:left w:w="108" w:type="dxa"/>
              <w:right w:w="108" w:type="dxa"/>
            </w:tcMar>
            <w:vAlign w:val="center"/>
          </w:tcPr>
          <w:p w14:paraId="5910392E">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70" w:type="dxa"/>
            <w:shd w:val="clear" w:color="auto" w:fill="auto"/>
            <w:tcMar>
              <w:left w:w="108" w:type="dxa"/>
              <w:right w:w="108" w:type="dxa"/>
            </w:tcMar>
            <w:vAlign w:val="center"/>
          </w:tcPr>
          <w:p w14:paraId="36A1B6BB">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86" w:type="dxa"/>
            <w:shd w:val="clear" w:color="auto" w:fill="auto"/>
            <w:tcMar>
              <w:left w:w="108" w:type="dxa"/>
              <w:right w:w="108" w:type="dxa"/>
            </w:tcMar>
            <w:vAlign w:val="center"/>
          </w:tcPr>
          <w:p w14:paraId="7B514573">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99" w:type="dxa"/>
            <w:shd w:val="clear" w:color="auto" w:fill="auto"/>
            <w:tcMar>
              <w:left w:w="108" w:type="dxa"/>
              <w:right w:w="108" w:type="dxa"/>
            </w:tcMar>
            <w:vAlign w:val="center"/>
          </w:tcPr>
          <w:p w14:paraId="577E8240">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699" w:type="dxa"/>
            <w:shd w:val="clear" w:color="auto" w:fill="auto"/>
            <w:tcMar>
              <w:left w:w="108" w:type="dxa"/>
              <w:right w:w="108" w:type="dxa"/>
            </w:tcMar>
            <w:vAlign w:val="center"/>
          </w:tcPr>
          <w:p w14:paraId="7AB2F2CC">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62" w:type="dxa"/>
            <w:shd w:val="clear" w:color="auto" w:fill="auto"/>
            <w:tcMar>
              <w:left w:w="108" w:type="dxa"/>
              <w:right w:w="108" w:type="dxa"/>
            </w:tcMar>
            <w:vAlign w:val="center"/>
          </w:tcPr>
          <w:p w14:paraId="6DCED41B">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841" w:type="dxa"/>
            <w:shd w:val="clear" w:color="auto" w:fill="auto"/>
            <w:tcMar>
              <w:left w:w="108" w:type="dxa"/>
              <w:right w:w="108" w:type="dxa"/>
            </w:tcMar>
            <w:vAlign w:val="center"/>
          </w:tcPr>
          <w:p w14:paraId="555CD04E">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r>
      <w:tr w14:paraId="752D22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40" w:type="dxa"/>
            <w:vMerge w:val="continue"/>
            <w:shd w:val="clear" w:color="auto" w:fill="auto"/>
            <w:tcMar>
              <w:left w:w="108" w:type="dxa"/>
              <w:right w:w="108" w:type="dxa"/>
            </w:tcMar>
            <w:vAlign w:val="center"/>
          </w:tcPr>
          <w:p w14:paraId="104840BE">
            <w:pPr>
              <w:keepNext w:val="0"/>
              <w:keepLines w:val="0"/>
              <w:pageBreakBefore w:val="0"/>
              <w:kinsoku/>
              <w:wordWrap/>
              <w:overflowPunct/>
              <w:topLinePunct w:val="0"/>
              <w:autoSpaceDE/>
              <w:autoSpaceDN/>
              <w:bidi w:val="0"/>
              <w:adjustRightInd/>
              <w:snapToGrid/>
              <w:spacing w:line="260" w:lineRule="exact"/>
              <w:textAlignment w:val="auto"/>
              <w:rPr>
                <w:rFonts w:ascii="黑体" w:hAnsi="黑体" w:eastAsia="黑体"/>
                <w:sz w:val="24"/>
                <w:szCs w:val="24"/>
              </w:rPr>
            </w:pPr>
          </w:p>
        </w:tc>
        <w:tc>
          <w:tcPr>
            <w:tcW w:w="1040" w:type="dxa"/>
            <w:vMerge w:val="continue"/>
            <w:shd w:val="clear" w:color="auto" w:fill="auto"/>
            <w:tcMar>
              <w:left w:w="108" w:type="dxa"/>
              <w:right w:w="108" w:type="dxa"/>
            </w:tcMar>
            <w:vAlign w:val="center"/>
          </w:tcPr>
          <w:p w14:paraId="3D8A73F7">
            <w:pPr>
              <w:keepNext w:val="0"/>
              <w:keepLines w:val="0"/>
              <w:pageBreakBefore w:val="0"/>
              <w:kinsoku/>
              <w:wordWrap/>
              <w:overflowPunct/>
              <w:topLinePunct w:val="0"/>
              <w:autoSpaceDE/>
              <w:autoSpaceDN/>
              <w:bidi w:val="0"/>
              <w:adjustRightInd/>
              <w:snapToGrid/>
              <w:spacing w:line="260" w:lineRule="exact"/>
              <w:textAlignment w:val="auto"/>
              <w:rPr>
                <w:rFonts w:ascii="黑体" w:hAnsi="黑体" w:eastAsia="黑体"/>
                <w:sz w:val="24"/>
                <w:szCs w:val="24"/>
              </w:rPr>
            </w:pPr>
          </w:p>
        </w:tc>
        <w:tc>
          <w:tcPr>
            <w:tcW w:w="3665" w:type="dxa"/>
            <w:shd w:val="clear" w:color="auto" w:fill="auto"/>
            <w:tcMar>
              <w:left w:w="108" w:type="dxa"/>
              <w:right w:w="108" w:type="dxa"/>
            </w:tcMar>
            <w:vAlign w:val="center"/>
          </w:tcPr>
          <w:p w14:paraId="6888872B">
            <w:pPr>
              <w:keepNext w:val="0"/>
              <w:keepLines w:val="0"/>
              <w:pageBreakBefore w:val="0"/>
              <w:widowControl/>
              <w:kinsoku/>
              <w:wordWrap/>
              <w:overflowPunct/>
              <w:topLinePunct w:val="0"/>
              <w:autoSpaceDE/>
              <w:autoSpaceDN/>
              <w:bidi w:val="0"/>
              <w:adjustRightInd/>
              <w:snapToGrid/>
              <w:spacing w:line="260" w:lineRule="exact"/>
              <w:textAlignment w:val="auto"/>
              <w:rPr>
                <w:rFonts w:ascii="仿宋_GB2312" w:hAnsi="黑体" w:eastAsia="仿宋_GB2312"/>
                <w:kern w:val="0"/>
                <w:sz w:val="24"/>
                <w:szCs w:val="24"/>
              </w:rPr>
            </w:pPr>
            <w:r>
              <w:rPr>
                <w:rFonts w:hint="eastAsia" w:ascii="仿宋_GB2312" w:hAnsi="黑体" w:eastAsia="仿宋_GB2312"/>
                <w:kern w:val="0"/>
                <w:sz w:val="24"/>
                <w:szCs w:val="24"/>
              </w:rPr>
              <w:t>2.重复申请</w:t>
            </w:r>
          </w:p>
        </w:tc>
        <w:tc>
          <w:tcPr>
            <w:tcW w:w="597" w:type="dxa"/>
            <w:shd w:val="clear" w:color="auto" w:fill="auto"/>
            <w:tcMar>
              <w:left w:w="108" w:type="dxa"/>
              <w:right w:w="108" w:type="dxa"/>
            </w:tcMar>
            <w:vAlign w:val="center"/>
          </w:tcPr>
          <w:p w14:paraId="052F381D">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5</w:t>
            </w:r>
          </w:p>
        </w:tc>
        <w:tc>
          <w:tcPr>
            <w:tcW w:w="570" w:type="dxa"/>
            <w:shd w:val="clear" w:color="auto" w:fill="auto"/>
            <w:tcMar>
              <w:left w:w="108" w:type="dxa"/>
              <w:right w:w="108" w:type="dxa"/>
            </w:tcMar>
            <w:vAlign w:val="center"/>
          </w:tcPr>
          <w:p w14:paraId="5162F0A4">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86" w:type="dxa"/>
            <w:shd w:val="clear" w:color="auto" w:fill="auto"/>
            <w:tcMar>
              <w:left w:w="108" w:type="dxa"/>
              <w:right w:w="108" w:type="dxa"/>
            </w:tcMar>
            <w:vAlign w:val="center"/>
          </w:tcPr>
          <w:p w14:paraId="5B5C1AE4">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99" w:type="dxa"/>
            <w:shd w:val="clear" w:color="auto" w:fill="auto"/>
            <w:tcMar>
              <w:left w:w="108" w:type="dxa"/>
              <w:right w:w="108" w:type="dxa"/>
            </w:tcMar>
            <w:vAlign w:val="center"/>
          </w:tcPr>
          <w:p w14:paraId="084A2C96">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699" w:type="dxa"/>
            <w:shd w:val="clear" w:color="auto" w:fill="auto"/>
            <w:tcMar>
              <w:left w:w="108" w:type="dxa"/>
              <w:right w:w="108" w:type="dxa"/>
            </w:tcMar>
            <w:vAlign w:val="center"/>
          </w:tcPr>
          <w:p w14:paraId="653974E1">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62" w:type="dxa"/>
            <w:shd w:val="clear" w:color="auto" w:fill="auto"/>
            <w:tcMar>
              <w:left w:w="108" w:type="dxa"/>
              <w:right w:w="108" w:type="dxa"/>
            </w:tcMar>
            <w:vAlign w:val="center"/>
          </w:tcPr>
          <w:p w14:paraId="723C5EB3">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841" w:type="dxa"/>
            <w:shd w:val="clear" w:color="auto" w:fill="auto"/>
            <w:tcMar>
              <w:left w:w="108" w:type="dxa"/>
              <w:right w:w="108" w:type="dxa"/>
            </w:tcMar>
            <w:vAlign w:val="center"/>
          </w:tcPr>
          <w:p w14:paraId="0D5454DE">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5</w:t>
            </w:r>
          </w:p>
        </w:tc>
      </w:tr>
      <w:tr w14:paraId="422FFC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40" w:type="dxa"/>
            <w:vMerge w:val="continue"/>
            <w:shd w:val="clear" w:color="auto" w:fill="auto"/>
            <w:tcMar>
              <w:left w:w="108" w:type="dxa"/>
              <w:right w:w="108" w:type="dxa"/>
            </w:tcMar>
            <w:vAlign w:val="center"/>
          </w:tcPr>
          <w:p w14:paraId="6FDE1D47">
            <w:pPr>
              <w:keepNext w:val="0"/>
              <w:keepLines w:val="0"/>
              <w:pageBreakBefore w:val="0"/>
              <w:kinsoku/>
              <w:wordWrap/>
              <w:overflowPunct/>
              <w:topLinePunct w:val="0"/>
              <w:autoSpaceDE/>
              <w:autoSpaceDN/>
              <w:bidi w:val="0"/>
              <w:adjustRightInd/>
              <w:snapToGrid/>
              <w:spacing w:line="260" w:lineRule="exact"/>
              <w:textAlignment w:val="auto"/>
              <w:rPr>
                <w:rFonts w:ascii="黑体" w:hAnsi="黑体" w:eastAsia="黑体"/>
                <w:sz w:val="24"/>
                <w:szCs w:val="24"/>
              </w:rPr>
            </w:pPr>
          </w:p>
        </w:tc>
        <w:tc>
          <w:tcPr>
            <w:tcW w:w="1040" w:type="dxa"/>
            <w:vMerge w:val="continue"/>
            <w:shd w:val="clear" w:color="auto" w:fill="auto"/>
            <w:tcMar>
              <w:left w:w="108" w:type="dxa"/>
              <w:right w:w="108" w:type="dxa"/>
            </w:tcMar>
            <w:vAlign w:val="center"/>
          </w:tcPr>
          <w:p w14:paraId="272EB1BE">
            <w:pPr>
              <w:keepNext w:val="0"/>
              <w:keepLines w:val="0"/>
              <w:pageBreakBefore w:val="0"/>
              <w:kinsoku/>
              <w:wordWrap/>
              <w:overflowPunct/>
              <w:topLinePunct w:val="0"/>
              <w:autoSpaceDE/>
              <w:autoSpaceDN/>
              <w:bidi w:val="0"/>
              <w:adjustRightInd/>
              <w:snapToGrid/>
              <w:spacing w:line="260" w:lineRule="exact"/>
              <w:textAlignment w:val="auto"/>
              <w:rPr>
                <w:rFonts w:ascii="黑体" w:hAnsi="黑体" w:eastAsia="黑体"/>
                <w:sz w:val="24"/>
                <w:szCs w:val="24"/>
              </w:rPr>
            </w:pPr>
          </w:p>
        </w:tc>
        <w:tc>
          <w:tcPr>
            <w:tcW w:w="3665" w:type="dxa"/>
            <w:shd w:val="clear" w:color="auto" w:fill="auto"/>
            <w:tcMar>
              <w:left w:w="108" w:type="dxa"/>
              <w:right w:w="108" w:type="dxa"/>
            </w:tcMar>
            <w:vAlign w:val="center"/>
          </w:tcPr>
          <w:p w14:paraId="32834353">
            <w:pPr>
              <w:keepNext w:val="0"/>
              <w:keepLines w:val="0"/>
              <w:pageBreakBefore w:val="0"/>
              <w:widowControl/>
              <w:kinsoku/>
              <w:wordWrap/>
              <w:overflowPunct/>
              <w:topLinePunct w:val="0"/>
              <w:autoSpaceDE/>
              <w:autoSpaceDN/>
              <w:bidi w:val="0"/>
              <w:adjustRightInd/>
              <w:snapToGrid/>
              <w:spacing w:line="260" w:lineRule="exact"/>
              <w:textAlignment w:val="auto"/>
              <w:rPr>
                <w:rFonts w:ascii="仿宋_GB2312" w:hAnsi="黑体" w:eastAsia="仿宋_GB2312"/>
                <w:sz w:val="24"/>
                <w:szCs w:val="24"/>
              </w:rPr>
            </w:pPr>
            <w:r>
              <w:rPr>
                <w:rFonts w:hint="eastAsia" w:ascii="仿宋_GB2312" w:hAnsi="黑体" w:eastAsia="仿宋_GB2312"/>
                <w:kern w:val="0"/>
                <w:sz w:val="24"/>
                <w:szCs w:val="24"/>
              </w:rPr>
              <w:t>3.要求提供公开出版物</w:t>
            </w:r>
          </w:p>
        </w:tc>
        <w:tc>
          <w:tcPr>
            <w:tcW w:w="597" w:type="dxa"/>
            <w:shd w:val="clear" w:color="auto" w:fill="auto"/>
            <w:tcMar>
              <w:left w:w="108" w:type="dxa"/>
              <w:right w:w="108" w:type="dxa"/>
            </w:tcMar>
            <w:vAlign w:val="center"/>
          </w:tcPr>
          <w:p w14:paraId="1153E4F1">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70" w:type="dxa"/>
            <w:shd w:val="clear" w:color="auto" w:fill="auto"/>
            <w:tcMar>
              <w:left w:w="108" w:type="dxa"/>
              <w:right w:w="108" w:type="dxa"/>
            </w:tcMar>
            <w:vAlign w:val="center"/>
          </w:tcPr>
          <w:p w14:paraId="38326F8F">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86" w:type="dxa"/>
            <w:shd w:val="clear" w:color="auto" w:fill="auto"/>
            <w:tcMar>
              <w:left w:w="108" w:type="dxa"/>
              <w:right w:w="108" w:type="dxa"/>
            </w:tcMar>
            <w:vAlign w:val="center"/>
          </w:tcPr>
          <w:p w14:paraId="365DF186">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99" w:type="dxa"/>
            <w:shd w:val="clear" w:color="auto" w:fill="auto"/>
            <w:tcMar>
              <w:left w:w="108" w:type="dxa"/>
              <w:right w:w="108" w:type="dxa"/>
            </w:tcMar>
            <w:vAlign w:val="center"/>
          </w:tcPr>
          <w:p w14:paraId="114EC523">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699" w:type="dxa"/>
            <w:shd w:val="clear" w:color="auto" w:fill="auto"/>
            <w:tcMar>
              <w:left w:w="108" w:type="dxa"/>
              <w:right w:w="108" w:type="dxa"/>
            </w:tcMar>
            <w:vAlign w:val="center"/>
          </w:tcPr>
          <w:p w14:paraId="43B50F79">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62" w:type="dxa"/>
            <w:shd w:val="clear" w:color="auto" w:fill="auto"/>
            <w:tcMar>
              <w:left w:w="108" w:type="dxa"/>
              <w:right w:w="108" w:type="dxa"/>
            </w:tcMar>
            <w:vAlign w:val="center"/>
          </w:tcPr>
          <w:p w14:paraId="590A8D8B">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841" w:type="dxa"/>
            <w:shd w:val="clear" w:color="auto" w:fill="auto"/>
            <w:tcMar>
              <w:left w:w="108" w:type="dxa"/>
              <w:right w:w="108" w:type="dxa"/>
            </w:tcMar>
            <w:vAlign w:val="center"/>
          </w:tcPr>
          <w:p w14:paraId="0E365449">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r>
      <w:tr w14:paraId="744DC8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40" w:type="dxa"/>
            <w:vMerge w:val="continue"/>
            <w:shd w:val="clear" w:color="auto" w:fill="auto"/>
            <w:tcMar>
              <w:left w:w="108" w:type="dxa"/>
              <w:right w:w="108" w:type="dxa"/>
            </w:tcMar>
            <w:vAlign w:val="center"/>
          </w:tcPr>
          <w:p w14:paraId="14CA2433">
            <w:pPr>
              <w:keepNext w:val="0"/>
              <w:keepLines w:val="0"/>
              <w:pageBreakBefore w:val="0"/>
              <w:kinsoku/>
              <w:wordWrap/>
              <w:overflowPunct/>
              <w:topLinePunct w:val="0"/>
              <w:autoSpaceDE/>
              <w:autoSpaceDN/>
              <w:bidi w:val="0"/>
              <w:adjustRightInd/>
              <w:snapToGrid/>
              <w:spacing w:line="260" w:lineRule="exact"/>
              <w:textAlignment w:val="auto"/>
              <w:rPr>
                <w:rFonts w:ascii="黑体" w:hAnsi="黑体" w:eastAsia="黑体"/>
                <w:sz w:val="24"/>
                <w:szCs w:val="24"/>
              </w:rPr>
            </w:pPr>
          </w:p>
        </w:tc>
        <w:tc>
          <w:tcPr>
            <w:tcW w:w="1040" w:type="dxa"/>
            <w:vMerge w:val="continue"/>
            <w:shd w:val="clear" w:color="auto" w:fill="auto"/>
            <w:tcMar>
              <w:left w:w="108" w:type="dxa"/>
              <w:right w:w="108" w:type="dxa"/>
            </w:tcMar>
            <w:vAlign w:val="center"/>
          </w:tcPr>
          <w:p w14:paraId="1303F442">
            <w:pPr>
              <w:keepNext w:val="0"/>
              <w:keepLines w:val="0"/>
              <w:pageBreakBefore w:val="0"/>
              <w:kinsoku/>
              <w:wordWrap/>
              <w:overflowPunct/>
              <w:topLinePunct w:val="0"/>
              <w:autoSpaceDE/>
              <w:autoSpaceDN/>
              <w:bidi w:val="0"/>
              <w:adjustRightInd/>
              <w:snapToGrid/>
              <w:spacing w:line="260" w:lineRule="exact"/>
              <w:textAlignment w:val="auto"/>
              <w:rPr>
                <w:rFonts w:ascii="黑体" w:hAnsi="黑体" w:eastAsia="黑体"/>
                <w:sz w:val="24"/>
                <w:szCs w:val="24"/>
              </w:rPr>
            </w:pPr>
          </w:p>
        </w:tc>
        <w:tc>
          <w:tcPr>
            <w:tcW w:w="3665" w:type="dxa"/>
            <w:shd w:val="clear" w:color="auto" w:fill="auto"/>
            <w:tcMar>
              <w:left w:w="108" w:type="dxa"/>
              <w:right w:w="108" w:type="dxa"/>
            </w:tcMar>
            <w:vAlign w:val="center"/>
          </w:tcPr>
          <w:p w14:paraId="06E4DFF7">
            <w:pPr>
              <w:keepNext w:val="0"/>
              <w:keepLines w:val="0"/>
              <w:pageBreakBefore w:val="0"/>
              <w:widowControl/>
              <w:kinsoku/>
              <w:wordWrap/>
              <w:overflowPunct/>
              <w:topLinePunct w:val="0"/>
              <w:autoSpaceDE/>
              <w:autoSpaceDN/>
              <w:bidi w:val="0"/>
              <w:adjustRightInd/>
              <w:snapToGrid/>
              <w:spacing w:line="260" w:lineRule="exact"/>
              <w:textAlignment w:val="auto"/>
              <w:rPr>
                <w:rFonts w:ascii="仿宋_GB2312" w:hAnsi="黑体" w:eastAsia="仿宋_GB2312"/>
                <w:sz w:val="24"/>
                <w:szCs w:val="24"/>
              </w:rPr>
            </w:pPr>
            <w:r>
              <w:rPr>
                <w:rFonts w:hint="eastAsia" w:ascii="仿宋_GB2312" w:hAnsi="黑体" w:eastAsia="仿宋_GB2312"/>
                <w:kern w:val="0"/>
                <w:sz w:val="24"/>
                <w:szCs w:val="24"/>
              </w:rPr>
              <w:t>4.无正当理由大量反复申请</w:t>
            </w:r>
          </w:p>
        </w:tc>
        <w:tc>
          <w:tcPr>
            <w:tcW w:w="597" w:type="dxa"/>
            <w:shd w:val="clear" w:color="auto" w:fill="auto"/>
            <w:tcMar>
              <w:left w:w="108" w:type="dxa"/>
              <w:right w:w="108" w:type="dxa"/>
            </w:tcMar>
            <w:vAlign w:val="center"/>
          </w:tcPr>
          <w:p w14:paraId="1CA1877C">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70" w:type="dxa"/>
            <w:shd w:val="clear" w:color="auto" w:fill="auto"/>
            <w:tcMar>
              <w:left w:w="108" w:type="dxa"/>
              <w:right w:w="108" w:type="dxa"/>
            </w:tcMar>
            <w:vAlign w:val="center"/>
          </w:tcPr>
          <w:p w14:paraId="0BB7C3B1">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86" w:type="dxa"/>
            <w:shd w:val="clear" w:color="auto" w:fill="auto"/>
            <w:tcMar>
              <w:left w:w="108" w:type="dxa"/>
              <w:right w:w="108" w:type="dxa"/>
            </w:tcMar>
            <w:vAlign w:val="center"/>
          </w:tcPr>
          <w:p w14:paraId="0D863724">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99" w:type="dxa"/>
            <w:shd w:val="clear" w:color="auto" w:fill="auto"/>
            <w:tcMar>
              <w:left w:w="108" w:type="dxa"/>
              <w:right w:w="108" w:type="dxa"/>
            </w:tcMar>
            <w:vAlign w:val="center"/>
          </w:tcPr>
          <w:p w14:paraId="76786D1D">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699" w:type="dxa"/>
            <w:shd w:val="clear" w:color="auto" w:fill="auto"/>
            <w:tcMar>
              <w:left w:w="108" w:type="dxa"/>
              <w:right w:w="108" w:type="dxa"/>
            </w:tcMar>
            <w:vAlign w:val="center"/>
          </w:tcPr>
          <w:p w14:paraId="3A87552F">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62" w:type="dxa"/>
            <w:shd w:val="clear" w:color="auto" w:fill="auto"/>
            <w:tcMar>
              <w:left w:w="108" w:type="dxa"/>
              <w:right w:w="108" w:type="dxa"/>
            </w:tcMar>
            <w:vAlign w:val="center"/>
          </w:tcPr>
          <w:p w14:paraId="349EED0D">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841" w:type="dxa"/>
            <w:shd w:val="clear" w:color="auto" w:fill="auto"/>
            <w:tcMar>
              <w:left w:w="108" w:type="dxa"/>
              <w:right w:w="108" w:type="dxa"/>
            </w:tcMar>
            <w:vAlign w:val="center"/>
          </w:tcPr>
          <w:p w14:paraId="430781C8">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r>
      <w:tr w14:paraId="2EF362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40" w:type="dxa"/>
            <w:vMerge w:val="continue"/>
            <w:shd w:val="clear" w:color="auto" w:fill="auto"/>
            <w:tcMar>
              <w:left w:w="108" w:type="dxa"/>
              <w:right w:w="108" w:type="dxa"/>
            </w:tcMar>
            <w:vAlign w:val="center"/>
          </w:tcPr>
          <w:p w14:paraId="0B0F0B1C">
            <w:pPr>
              <w:keepNext w:val="0"/>
              <w:keepLines w:val="0"/>
              <w:pageBreakBefore w:val="0"/>
              <w:kinsoku/>
              <w:wordWrap/>
              <w:overflowPunct/>
              <w:topLinePunct w:val="0"/>
              <w:autoSpaceDE/>
              <w:autoSpaceDN/>
              <w:bidi w:val="0"/>
              <w:adjustRightInd/>
              <w:snapToGrid/>
              <w:spacing w:line="260" w:lineRule="exact"/>
              <w:textAlignment w:val="auto"/>
              <w:rPr>
                <w:rFonts w:ascii="黑体" w:hAnsi="黑体" w:eastAsia="黑体"/>
                <w:sz w:val="24"/>
                <w:szCs w:val="24"/>
              </w:rPr>
            </w:pPr>
          </w:p>
        </w:tc>
        <w:tc>
          <w:tcPr>
            <w:tcW w:w="1040" w:type="dxa"/>
            <w:vMerge w:val="continue"/>
            <w:shd w:val="clear" w:color="auto" w:fill="auto"/>
            <w:tcMar>
              <w:left w:w="108" w:type="dxa"/>
              <w:right w:w="108" w:type="dxa"/>
            </w:tcMar>
            <w:vAlign w:val="center"/>
          </w:tcPr>
          <w:p w14:paraId="1C1827E0">
            <w:pPr>
              <w:keepNext w:val="0"/>
              <w:keepLines w:val="0"/>
              <w:pageBreakBefore w:val="0"/>
              <w:kinsoku/>
              <w:wordWrap/>
              <w:overflowPunct/>
              <w:topLinePunct w:val="0"/>
              <w:autoSpaceDE/>
              <w:autoSpaceDN/>
              <w:bidi w:val="0"/>
              <w:adjustRightInd/>
              <w:snapToGrid/>
              <w:spacing w:line="260" w:lineRule="exact"/>
              <w:textAlignment w:val="auto"/>
              <w:rPr>
                <w:rFonts w:ascii="黑体" w:hAnsi="黑体" w:eastAsia="黑体"/>
                <w:sz w:val="24"/>
                <w:szCs w:val="24"/>
              </w:rPr>
            </w:pPr>
          </w:p>
        </w:tc>
        <w:tc>
          <w:tcPr>
            <w:tcW w:w="3665" w:type="dxa"/>
            <w:shd w:val="clear" w:color="auto" w:fill="auto"/>
            <w:tcMar>
              <w:left w:w="108" w:type="dxa"/>
              <w:right w:w="108" w:type="dxa"/>
            </w:tcMar>
            <w:vAlign w:val="center"/>
          </w:tcPr>
          <w:p w14:paraId="7ED666B0">
            <w:pPr>
              <w:keepNext w:val="0"/>
              <w:keepLines w:val="0"/>
              <w:pageBreakBefore w:val="0"/>
              <w:widowControl/>
              <w:kinsoku/>
              <w:wordWrap/>
              <w:overflowPunct/>
              <w:topLinePunct w:val="0"/>
              <w:autoSpaceDE/>
              <w:autoSpaceDN/>
              <w:bidi w:val="0"/>
              <w:adjustRightInd/>
              <w:snapToGrid/>
              <w:spacing w:line="260" w:lineRule="exact"/>
              <w:textAlignment w:val="auto"/>
              <w:rPr>
                <w:rFonts w:ascii="仿宋_GB2312" w:hAnsi="黑体" w:eastAsia="仿宋_GB2312"/>
                <w:sz w:val="24"/>
                <w:szCs w:val="24"/>
              </w:rPr>
            </w:pPr>
            <w:r>
              <w:rPr>
                <w:rFonts w:hint="eastAsia" w:ascii="仿宋_GB2312" w:hAnsi="黑体" w:eastAsia="仿宋_GB2312"/>
                <w:kern w:val="0"/>
                <w:sz w:val="24"/>
                <w:szCs w:val="24"/>
              </w:rPr>
              <w:t>5.要求行政机关确认或重新出具已获取信息</w:t>
            </w:r>
          </w:p>
        </w:tc>
        <w:tc>
          <w:tcPr>
            <w:tcW w:w="597" w:type="dxa"/>
            <w:shd w:val="clear" w:color="auto" w:fill="auto"/>
            <w:tcMar>
              <w:left w:w="108" w:type="dxa"/>
              <w:right w:w="108" w:type="dxa"/>
            </w:tcMar>
            <w:vAlign w:val="center"/>
          </w:tcPr>
          <w:p w14:paraId="47AE1F35">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70" w:type="dxa"/>
            <w:shd w:val="clear" w:color="auto" w:fill="auto"/>
            <w:tcMar>
              <w:left w:w="108" w:type="dxa"/>
              <w:right w:w="108" w:type="dxa"/>
            </w:tcMar>
            <w:vAlign w:val="center"/>
          </w:tcPr>
          <w:p w14:paraId="794CB533">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86" w:type="dxa"/>
            <w:shd w:val="clear" w:color="auto" w:fill="auto"/>
            <w:tcMar>
              <w:left w:w="108" w:type="dxa"/>
              <w:right w:w="108" w:type="dxa"/>
            </w:tcMar>
            <w:vAlign w:val="center"/>
          </w:tcPr>
          <w:p w14:paraId="25D3F8D1">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99" w:type="dxa"/>
            <w:shd w:val="clear" w:color="auto" w:fill="auto"/>
            <w:tcMar>
              <w:left w:w="108" w:type="dxa"/>
              <w:right w:w="108" w:type="dxa"/>
            </w:tcMar>
            <w:vAlign w:val="center"/>
          </w:tcPr>
          <w:p w14:paraId="4E5E970E">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699" w:type="dxa"/>
            <w:shd w:val="clear" w:color="auto" w:fill="auto"/>
            <w:tcMar>
              <w:left w:w="108" w:type="dxa"/>
              <w:right w:w="108" w:type="dxa"/>
            </w:tcMar>
            <w:vAlign w:val="center"/>
          </w:tcPr>
          <w:p w14:paraId="6265BFF3">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62" w:type="dxa"/>
            <w:shd w:val="clear" w:color="auto" w:fill="auto"/>
            <w:tcMar>
              <w:left w:w="108" w:type="dxa"/>
              <w:right w:w="108" w:type="dxa"/>
            </w:tcMar>
            <w:vAlign w:val="center"/>
          </w:tcPr>
          <w:p w14:paraId="10C74EA0">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841" w:type="dxa"/>
            <w:shd w:val="clear" w:color="auto" w:fill="auto"/>
            <w:tcMar>
              <w:left w:w="108" w:type="dxa"/>
              <w:right w:w="108" w:type="dxa"/>
            </w:tcMar>
            <w:vAlign w:val="center"/>
          </w:tcPr>
          <w:p w14:paraId="2529AF63">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r>
      <w:tr w14:paraId="0E8A83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40" w:type="dxa"/>
            <w:vMerge w:val="continue"/>
            <w:shd w:val="clear" w:color="auto" w:fill="auto"/>
            <w:tcMar>
              <w:left w:w="108" w:type="dxa"/>
              <w:right w:w="108" w:type="dxa"/>
            </w:tcMar>
            <w:vAlign w:val="center"/>
          </w:tcPr>
          <w:p w14:paraId="4BF260FD">
            <w:pPr>
              <w:keepNext w:val="0"/>
              <w:keepLines w:val="0"/>
              <w:pageBreakBefore w:val="0"/>
              <w:kinsoku/>
              <w:wordWrap/>
              <w:overflowPunct/>
              <w:topLinePunct w:val="0"/>
              <w:autoSpaceDE/>
              <w:autoSpaceDN/>
              <w:bidi w:val="0"/>
              <w:adjustRightInd/>
              <w:snapToGrid/>
              <w:spacing w:line="260" w:lineRule="exact"/>
              <w:textAlignment w:val="auto"/>
              <w:rPr>
                <w:rFonts w:ascii="黑体" w:hAnsi="黑体" w:eastAsia="黑体"/>
                <w:sz w:val="24"/>
                <w:szCs w:val="24"/>
              </w:rPr>
            </w:pPr>
          </w:p>
        </w:tc>
        <w:tc>
          <w:tcPr>
            <w:tcW w:w="1040" w:type="dxa"/>
            <w:vMerge w:val="restart"/>
            <w:shd w:val="clear" w:color="auto" w:fill="auto"/>
            <w:tcMar>
              <w:left w:w="108" w:type="dxa"/>
              <w:right w:w="108" w:type="dxa"/>
            </w:tcMar>
            <w:vAlign w:val="center"/>
          </w:tcPr>
          <w:p w14:paraId="609C665D">
            <w:pPr>
              <w:keepNext w:val="0"/>
              <w:keepLines w:val="0"/>
              <w:pageBreakBefore w:val="0"/>
              <w:widowControl/>
              <w:kinsoku/>
              <w:wordWrap/>
              <w:overflowPunct/>
              <w:topLinePunct w:val="0"/>
              <w:autoSpaceDE/>
              <w:autoSpaceDN/>
              <w:bidi w:val="0"/>
              <w:adjustRightInd/>
              <w:snapToGrid/>
              <w:spacing w:line="260" w:lineRule="exact"/>
              <w:textAlignment w:val="auto"/>
              <w:rPr>
                <w:rFonts w:ascii="黑体" w:hAnsi="黑体" w:eastAsia="黑体"/>
                <w:kern w:val="0"/>
                <w:sz w:val="24"/>
                <w:szCs w:val="24"/>
              </w:rPr>
            </w:pPr>
            <w:r>
              <w:rPr>
                <w:rFonts w:hint="eastAsia" w:ascii="黑体" w:hAnsi="黑体" w:eastAsia="黑体"/>
                <w:kern w:val="0"/>
                <w:sz w:val="24"/>
                <w:szCs w:val="24"/>
              </w:rPr>
              <w:t>（六）其他处理</w:t>
            </w:r>
          </w:p>
        </w:tc>
        <w:tc>
          <w:tcPr>
            <w:tcW w:w="3665" w:type="dxa"/>
            <w:shd w:val="clear" w:color="auto" w:fill="auto"/>
            <w:vAlign w:val="center"/>
          </w:tcPr>
          <w:p w14:paraId="3ACB0F24">
            <w:pPr>
              <w:keepNext w:val="0"/>
              <w:keepLines w:val="0"/>
              <w:pageBreakBefore w:val="0"/>
              <w:widowControl/>
              <w:kinsoku/>
              <w:wordWrap/>
              <w:overflowPunct/>
              <w:topLinePunct w:val="0"/>
              <w:autoSpaceDE/>
              <w:autoSpaceDN/>
              <w:bidi w:val="0"/>
              <w:adjustRightInd/>
              <w:snapToGrid/>
              <w:spacing w:line="260" w:lineRule="exact"/>
              <w:textAlignment w:val="auto"/>
              <w:rPr>
                <w:rFonts w:ascii="仿宋_GB2312" w:hAnsi="楷体" w:eastAsia="仿宋_GB2312"/>
                <w:sz w:val="24"/>
                <w:szCs w:val="24"/>
              </w:rPr>
            </w:pPr>
            <w:r>
              <w:rPr>
                <w:rFonts w:hint="eastAsia" w:ascii="仿宋_GB2312" w:hAnsi="楷体" w:eastAsia="仿宋_GB2312"/>
                <w:sz w:val="24"/>
                <w:szCs w:val="24"/>
              </w:rPr>
              <w:t>1.申请人无正当理由逾期不补正、行政机关不再处理其政府信息公开申请</w:t>
            </w:r>
          </w:p>
        </w:tc>
        <w:tc>
          <w:tcPr>
            <w:tcW w:w="597" w:type="dxa"/>
            <w:shd w:val="clear" w:color="auto" w:fill="auto"/>
            <w:tcMar>
              <w:left w:w="108" w:type="dxa"/>
              <w:right w:w="108" w:type="dxa"/>
            </w:tcMar>
            <w:vAlign w:val="center"/>
          </w:tcPr>
          <w:p w14:paraId="5FF0E312">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1</w:t>
            </w:r>
          </w:p>
        </w:tc>
        <w:tc>
          <w:tcPr>
            <w:tcW w:w="570" w:type="dxa"/>
            <w:shd w:val="clear" w:color="auto" w:fill="auto"/>
            <w:tcMar>
              <w:left w:w="108" w:type="dxa"/>
              <w:right w:w="108" w:type="dxa"/>
            </w:tcMar>
            <w:vAlign w:val="center"/>
          </w:tcPr>
          <w:p w14:paraId="692CAFD9">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86" w:type="dxa"/>
            <w:shd w:val="clear" w:color="auto" w:fill="auto"/>
            <w:tcMar>
              <w:left w:w="108" w:type="dxa"/>
              <w:right w:w="108" w:type="dxa"/>
            </w:tcMar>
            <w:vAlign w:val="center"/>
          </w:tcPr>
          <w:p w14:paraId="1D0B386F">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99" w:type="dxa"/>
            <w:shd w:val="clear" w:color="auto" w:fill="auto"/>
            <w:tcMar>
              <w:left w:w="108" w:type="dxa"/>
              <w:right w:w="108" w:type="dxa"/>
            </w:tcMar>
            <w:vAlign w:val="center"/>
          </w:tcPr>
          <w:p w14:paraId="025FC8CE">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699" w:type="dxa"/>
            <w:shd w:val="clear" w:color="auto" w:fill="auto"/>
            <w:tcMar>
              <w:left w:w="108" w:type="dxa"/>
              <w:right w:w="108" w:type="dxa"/>
            </w:tcMar>
            <w:vAlign w:val="center"/>
          </w:tcPr>
          <w:p w14:paraId="0B110C88">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62" w:type="dxa"/>
            <w:shd w:val="clear" w:color="auto" w:fill="auto"/>
            <w:tcMar>
              <w:left w:w="108" w:type="dxa"/>
              <w:right w:w="108" w:type="dxa"/>
            </w:tcMar>
            <w:vAlign w:val="center"/>
          </w:tcPr>
          <w:p w14:paraId="0150E3F7">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841" w:type="dxa"/>
            <w:shd w:val="clear" w:color="auto" w:fill="auto"/>
            <w:tcMar>
              <w:left w:w="108" w:type="dxa"/>
              <w:right w:w="108" w:type="dxa"/>
            </w:tcMar>
            <w:vAlign w:val="center"/>
          </w:tcPr>
          <w:p w14:paraId="05C25A65">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1</w:t>
            </w:r>
          </w:p>
        </w:tc>
      </w:tr>
      <w:tr w14:paraId="2B4111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40" w:type="dxa"/>
            <w:vMerge w:val="continue"/>
            <w:shd w:val="clear" w:color="auto" w:fill="auto"/>
            <w:tcMar>
              <w:left w:w="108" w:type="dxa"/>
              <w:right w:w="108" w:type="dxa"/>
            </w:tcMar>
            <w:vAlign w:val="center"/>
          </w:tcPr>
          <w:p w14:paraId="6E7AF3CB">
            <w:pPr>
              <w:keepNext w:val="0"/>
              <w:keepLines w:val="0"/>
              <w:pageBreakBefore w:val="0"/>
              <w:kinsoku/>
              <w:wordWrap/>
              <w:overflowPunct/>
              <w:topLinePunct w:val="0"/>
              <w:autoSpaceDE/>
              <w:autoSpaceDN/>
              <w:bidi w:val="0"/>
              <w:adjustRightInd/>
              <w:snapToGrid/>
              <w:spacing w:line="260" w:lineRule="exact"/>
              <w:textAlignment w:val="auto"/>
              <w:rPr>
                <w:rFonts w:ascii="黑体" w:hAnsi="黑体" w:eastAsia="黑体"/>
                <w:sz w:val="24"/>
                <w:szCs w:val="24"/>
              </w:rPr>
            </w:pPr>
          </w:p>
        </w:tc>
        <w:tc>
          <w:tcPr>
            <w:tcW w:w="1040" w:type="dxa"/>
            <w:vMerge w:val="continue"/>
            <w:shd w:val="clear" w:color="auto" w:fill="auto"/>
            <w:tcMar>
              <w:left w:w="108" w:type="dxa"/>
              <w:right w:w="108" w:type="dxa"/>
            </w:tcMar>
            <w:vAlign w:val="center"/>
          </w:tcPr>
          <w:p w14:paraId="036D9A20">
            <w:pPr>
              <w:keepNext w:val="0"/>
              <w:keepLines w:val="0"/>
              <w:pageBreakBefore w:val="0"/>
              <w:widowControl/>
              <w:kinsoku/>
              <w:wordWrap/>
              <w:overflowPunct/>
              <w:topLinePunct w:val="0"/>
              <w:autoSpaceDE/>
              <w:autoSpaceDN/>
              <w:bidi w:val="0"/>
              <w:adjustRightInd/>
              <w:snapToGrid/>
              <w:spacing w:line="260" w:lineRule="exact"/>
              <w:textAlignment w:val="auto"/>
              <w:rPr>
                <w:rFonts w:ascii="黑体" w:hAnsi="黑体" w:eastAsia="黑体"/>
                <w:kern w:val="0"/>
                <w:sz w:val="24"/>
                <w:szCs w:val="24"/>
              </w:rPr>
            </w:pPr>
          </w:p>
        </w:tc>
        <w:tc>
          <w:tcPr>
            <w:tcW w:w="3665" w:type="dxa"/>
            <w:shd w:val="clear" w:color="auto" w:fill="auto"/>
            <w:vAlign w:val="center"/>
          </w:tcPr>
          <w:p w14:paraId="3AACF5C0">
            <w:pPr>
              <w:keepNext w:val="0"/>
              <w:keepLines w:val="0"/>
              <w:pageBreakBefore w:val="0"/>
              <w:widowControl/>
              <w:kinsoku/>
              <w:wordWrap/>
              <w:overflowPunct/>
              <w:topLinePunct w:val="0"/>
              <w:autoSpaceDE/>
              <w:autoSpaceDN/>
              <w:bidi w:val="0"/>
              <w:adjustRightInd/>
              <w:snapToGrid/>
              <w:spacing w:line="260" w:lineRule="exact"/>
              <w:textAlignment w:val="auto"/>
              <w:rPr>
                <w:rFonts w:ascii="仿宋_GB2312" w:hAnsi="黑体" w:eastAsia="仿宋_GB2312"/>
                <w:kern w:val="0"/>
                <w:sz w:val="24"/>
                <w:szCs w:val="24"/>
              </w:rPr>
            </w:pPr>
            <w:r>
              <w:rPr>
                <w:rFonts w:hint="eastAsia" w:ascii="仿宋_GB2312" w:hAnsi="楷体" w:eastAsia="仿宋_GB2312"/>
                <w:sz w:val="24"/>
                <w:szCs w:val="24"/>
              </w:rPr>
              <w:t>2.申请人逾期未按收费通知要求缴纳费用、行政机关不再处理其政府信息公开申请</w:t>
            </w:r>
          </w:p>
        </w:tc>
        <w:tc>
          <w:tcPr>
            <w:tcW w:w="597" w:type="dxa"/>
            <w:shd w:val="clear" w:color="auto" w:fill="auto"/>
            <w:tcMar>
              <w:left w:w="108" w:type="dxa"/>
              <w:right w:w="108" w:type="dxa"/>
            </w:tcMar>
            <w:vAlign w:val="center"/>
          </w:tcPr>
          <w:p w14:paraId="4D444511">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70" w:type="dxa"/>
            <w:shd w:val="clear" w:color="auto" w:fill="auto"/>
            <w:tcMar>
              <w:left w:w="108" w:type="dxa"/>
              <w:right w:w="108" w:type="dxa"/>
            </w:tcMar>
            <w:vAlign w:val="center"/>
          </w:tcPr>
          <w:p w14:paraId="6039ED51">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86" w:type="dxa"/>
            <w:shd w:val="clear" w:color="auto" w:fill="auto"/>
            <w:tcMar>
              <w:left w:w="108" w:type="dxa"/>
              <w:right w:w="108" w:type="dxa"/>
            </w:tcMar>
            <w:vAlign w:val="center"/>
          </w:tcPr>
          <w:p w14:paraId="1D65C718">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99" w:type="dxa"/>
            <w:shd w:val="clear" w:color="auto" w:fill="auto"/>
            <w:tcMar>
              <w:left w:w="108" w:type="dxa"/>
              <w:right w:w="108" w:type="dxa"/>
            </w:tcMar>
            <w:vAlign w:val="center"/>
          </w:tcPr>
          <w:p w14:paraId="64F71F49">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699" w:type="dxa"/>
            <w:shd w:val="clear" w:color="auto" w:fill="auto"/>
            <w:tcMar>
              <w:left w:w="108" w:type="dxa"/>
              <w:right w:w="108" w:type="dxa"/>
            </w:tcMar>
            <w:vAlign w:val="center"/>
          </w:tcPr>
          <w:p w14:paraId="5D4BB236">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62" w:type="dxa"/>
            <w:shd w:val="clear" w:color="auto" w:fill="auto"/>
            <w:tcMar>
              <w:left w:w="108" w:type="dxa"/>
              <w:right w:w="108" w:type="dxa"/>
            </w:tcMar>
            <w:vAlign w:val="center"/>
          </w:tcPr>
          <w:p w14:paraId="7400E300">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841" w:type="dxa"/>
            <w:shd w:val="clear" w:color="auto" w:fill="auto"/>
            <w:tcMar>
              <w:left w:w="108" w:type="dxa"/>
              <w:right w:w="108" w:type="dxa"/>
            </w:tcMar>
            <w:vAlign w:val="center"/>
          </w:tcPr>
          <w:p w14:paraId="6DD79962">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r>
      <w:tr w14:paraId="77A289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40" w:type="dxa"/>
            <w:vMerge w:val="continue"/>
            <w:shd w:val="clear" w:color="auto" w:fill="auto"/>
            <w:tcMar>
              <w:left w:w="108" w:type="dxa"/>
              <w:right w:w="108" w:type="dxa"/>
            </w:tcMar>
            <w:vAlign w:val="center"/>
          </w:tcPr>
          <w:p w14:paraId="5EA30469">
            <w:pPr>
              <w:keepNext w:val="0"/>
              <w:keepLines w:val="0"/>
              <w:pageBreakBefore w:val="0"/>
              <w:kinsoku/>
              <w:wordWrap/>
              <w:overflowPunct/>
              <w:topLinePunct w:val="0"/>
              <w:autoSpaceDE/>
              <w:autoSpaceDN/>
              <w:bidi w:val="0"/>
              <w:adjustRightInd/>
              <w:snapToGrid/>
              <w:spacing w:line="260" w:lineRule="exact"/>
              <w:textAlignment w:val="auto"/>
              <w:rPr>
                <w:rFonts w:ascii="黑体" w:hAnsi="黑体" w:eastAsia="黑体"/>
                <w:sz w:val="24"/>
                <w:szCs w:val="24"/>
              </w:rPr>
            </w:pPr>
          </w:p>
        </w:tc>
        <w:tc>
          <w:tcPr>
            <w:tcW w:w="1040" w:type="dxa"/>
            <w:vMerge w:val="continue"/>
            <w:shd w:val="clear" w:color="auto" w:fill="auto"/>
            <w:tcMar>
              <w:left w:w="108" w:type="dxa"/>
              <w:right w:w="108" w:type="dxa"/>
            </w:tcMar>
            <w:vAlign w:val="center"/>
          </w:tcPr>
          <w:p w14:paraId="1EF1A11E">
            <w:pPr>
              <w:keepNext w:val="0"/>
              <w:keepLines w:val="0"/>
              <w:pageBreakBefore w:val="0"/>
              <w:widowControl/>
              <w:kinsoku/>
              <w:wordWrap/>
              <w:overflowPunct/>
              <w:topLinePunct w:val="0"/>
              <w:autoSpaceDE/>
              <w:autoSpaceDN/>
              <w:bidi w:val="0"/>
              <w:adjustRightInd/>
              <w:snapToGrid/>
              <w:spacing w:line="260" w:lineRule="exact"/>
              <w:textAlignment w:val="auto"/>
              <w:rPr>
                <w:rFonts w:ascii="黑体" w:hAnsi="黑体" w:eastAsia="黑体"/>
                <w:kern w:val="0"/>
                <w:sz w:val="24"/>
                <w:szCs w:val="24"/>
              </w:rPr>
            </w:pPr>
          </w:p>
        </w:tc>
        <w:tc>
          <w:tcPr>
            <w:tcW w:w="3665" w:type="dxa"/>
            <w:shd w:val="clear" w:color="auto" w:fill="auto"/>
            <w:vAlign w:val="center"/>
          </w:tcPr>
          <w:p w14:paraId="12BCB98B">
            <w:pPr>
              <w:keepNext w:val="0"/>
              <w:keepLines w:val="0"/>
              <w:pageBreakBefore w:val="0"/>
              <w:widowControl/>
              <w:kinsoku/>
              <w:wordWrap/>
              <w:overflowPunct/>
              <w:topLinePunct w:val="0"/>
              <w:autoSpaceDE/>
              <w:autoSpaceDN/>
              <w:bidi w:val="0"/>
              <w:adjustRightInd/>
              <w:snapToGrid/>
              <w:spacing w:line="260" w:lineRule="exact"/>
              <w:textAlignment w:val="auto"/>
              <w:rPr>
                <w:rFonts w:ascii="仿宋_GB2312" w:hAnsi="黑体" w:eastAsia="仿宋_GB2312"/>
                <w:kern w:val="0"/>
                <w:sz w:val="24"/>
                <w:szCs w:val="24"/>
              </w:rPr>
            </w:pPr>
            <w:r>
              <w:rPr>
                <w:rFonts w:hint="eastAsia" w:ascii="仿宋_GB2312" w:hAnsi="楷体" w:eastAsia="仿宋_GB2312"/>
                <w:sz w:val="24"/>
                <w:szCs w:val="24"/>
              </w:rPr>
              <w:t>3.其他</w:t>
            </w:r>
          </w:p>
        </w:tc>
        <w:tc>
          <w:tcPr>
            <w:tcW w:w="597" w:type="dxa"/>
            <w:shd w:val="clear" w:color="auto" w:fill="auto"/>
            <w:tcMar>
              <w:left w:w="108" w:type="dxa"/>
              <w:right w:w="108" w:type="dxa"/>
            </w:tcMar>
            <w:vAlign w:val="center"/>
          </w:tcPr>
          <w:p w14:paraId="7DBB06A7">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9</w:t>
            </w:r>
          </w:p>
        </w:tc>
        <w:tc>
          <w:tcPr>
            <w:tcW w:w="570" w:type="dxa"/>
            <w:shd w:val="clear" w:color="auto" w:fill="auto"/>
            <w:tcMar>
              <w:left w:w="108" w:type="dxa"/>
              <w:right w:w="108" w:type="dxa"/>
            </w:tcMar>
            <w:vAlign w:val="center"/>
          </w:tcPr>
          <w:p w14:paraId="46729DFC">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86" w:type="dxa"/>
            <w:shd w:val="clear" w:color="auto" w:fill="auto"/>
            <w:tcMar>
              <w:left w:w="108" w:type="dxa"/>
              <w:right w:w="108" w:type="dxa"/>
            </w:tcMar>
            <w:vAlign w:val="center"/>
          </w:tcPr>
          <w:p w14:paraId="470D822A">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99" w:type="dxa"/>
            <w:shd w:val="clear" w:color="auto" w:fill="auto"/>
            <w:tcMar>
              <w:left w:w="108" w:type="dxa"/>
              <w:right w:w="108" w:type="dxa"/>
            </w:tcMar>
            <w:vAlign w:val="center"/>
          </w:tcPr>
          <w:p w14:paraId="73DE7E5A">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699" w:type="dxa"/>
            <w:shd w:val="clear" w:color="auto" w:fill="auto"/>
            <w:tcMar>
              <w:left w:w="108" w:type="dxa"/>
              <w:right w:w="108" w:type="dxa"/>
            </w:tcMar>
            <w:vAlign w:val="center"/>
          </w:tcPr>
          <w:p w14:paraId="58171A66">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62" w:type="dxa"/>
            <w:shd w:val="clear" w:color="auto" w:fill="auto"/>
            <w:tcMar>
              <w:left w:w="108" w:type="dxa"/>
              <w:right w:w="108" w:type="dxa"/>
            </w:tcMar>
            <w:vAlign w:val="center"/>
          </w:tcPr>
          <w:p w14:paraId="25726C28">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841" w:type="dxa"/>
            <w:shd w:val="clear" w:color="auto" w:fill="auto"/>
            <w:tcMar>
              <w:left w:w="108" w:type="dxa"/>
              <w:right w:w="108" w:type="dxa"/>
            </w:tcMar>
            <w:vAlign w:val="center"/>
          </w:tcPr>
          <w:p w14:paraId="53A20F45">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9</w:t>
            </w:r>
          </w:p>
        </w:tc>
      </w:tr>
      <w:tr w14:paraId="079311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40" w:type="dxa"/>
            <w:vMerge w:val="continue"/>
            <w:shd w:val="clear" w:color="auto" w:fill="auto"/>
            <w:tcMar>
              <w:left w:w="108" w:type="dxa"/>
              <w:right w:w="108" w:type="dxa"/>
            </w:tcMar>
            <w:vAlign w:val="center"/>
          </w:tcPr>
          <w:p w14:paraId="7E4A499A">
            <w:pPr>
              <w:keepNext w:val="0"/>
              <w:keepLines w:val="0"/>
              <w:pageBreakBefore w:val="0"/>
              <w:kinsoku/>
              <w:wordWrap/>
              <w:overflowPunct/>
              <w:topLinePunct w:val="0"/>
              <w:autoSpaceDE/>
              <w:autoSpaceDN/>
              <w:bidi w:val="0"/>
              <w:adjustRightInd/>
              <w:snapToGrid/>
              <w:spacing w:line="260" w:lineRule="exact"/>
              <w:textAlignment w:val="auto"/>
              <w:rPr>
                <w:rFonts w:ascii="黑体" w:hAnsi="黑体" w:eastAsia="黑体"/>
                <w:sz w:val="24"/>
                <w:szCs w:val="24"/>
              </w:rPr>
            </w:pPr>
          </w:p>
        </w:tc>
        <w:tc>
          <w:tcPr>
            <w:tcW w:w="4705" w:type="dxa"/>
            <w:gridSpan w:val="2"/>
            <w:shd w:val="clear" w:color="auto" w:fill="auto"/>
            <w:tcMar>
              <w:left w:w="108" w:type="dxa"/>
              <w:right w:w="108" w:type="dxa"/>
            </w:tcMar>
            <w:vAlign w:val="center"/>
          </w:tcPr>
          <w:p w14:paraId="673E4AE5">
            <w:pPr>
              <w:keepNext w:val="0"/>
              <w:keepLines w:val="0"/>
              <w:pageBreakBefore w:val="0"/>
              <w:widowControl/>
              <w:kinsoku/>
              <w:wordWrap/>
              <w:overflowPunct/>
              <w:topLinePunct w:val="0"/>
              <w:autoSpaceDE/>
              <w:autoSpaceDN/>
              <w:bidi w:val="0"/>
              <w:adjustRightInd/>
              <w:snapToGrid/>
              <w:spacing w:line="260" w:lineRule="exact"/>
              <w:textAlignment w:val="auto"/>
              <w:rPr>
                <w:rFonts w:ascii="黑体" w:hAnsi="黑体" w:eastAsia="黑体"/>
                <w:kern w:val="0"/>
                <w:sz w:val="24"/>
                <w:szCs w:val="24"/>
              </w:rPr>
            </w:pPr>
            <w:r>
              <w:rPr>
                <w:rFonts w:hint="eastAsia" w:ascii="黑体" w:hAnsi="黑体" w:eastAsia="黑体"/>
                <w:kern w:val="0"/>
                <w:sz w:val="24"/>
                <w:szCs w:val="24"/>
              </w:rPr>
              <w:t>（七）总计</w:t>
            </w:r>
          </w:p>
        </w:tc>
        <w:tc>
          <w:tcPr>
            <w:tcW w:w="597" w:type="dxa"/>
            <w:shd w:val="clear" w:color="auto" w:fill="auto"/>
            <w:tcMar>
              <w:left w:w="108" w:type="dxa"/>
              <w:right w:w="108" w:type="dxa"/>
            </w:tcMar>
            <w:vAlign w:val="center"/>
          </w:tcPr>
          <w:p w14:paraId="63204B7F">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55</w:t>
            </w:r>
          </w:p>
        </w:tc>
        <w:tc>
          <w:tcPr>
            <w:tcW w:w="570" w:type="dxa"/>
            <w:shd w:val="clear" w:color="auto" w:fill="auto"/>
            <w:tcMar>
              <w:left w:w="108" w:type="dxa"/>
              <w:right w:w="108" w:type="dxa"/>
            </w:tcMar>
            <w:vAlign w:val="center"/>
          </w:tcPr>
          <w:p w14:paraId="25543F5F">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86" w:type="dxa"/>
            <w:shd w:val="clear" w:color="auto" w:fill="auto"/>
            <w:tcMar>
              <w:left w:w="108" w:type="dxa"/>
              <w:right w:w="108" w:type="dxa"/>
            </w:tcMar>
            <w:vAlign w:val="center"/>
          </w:tcPr>
          <w:p w14:paraId="20B901EE">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99" w:type="dxa"/>
            <w:shd w:val="clear" w:color="auto" w:fill="auto"/>
            <w:tcMar>
              <w:left w:w="108" w:type="dxa"/>
              <w:right w:w="108" w:type="dxa"/>
            </w:tcMar>
            <w:vAlign w:val="center"/>
          </w:tcPr>
          <w:p w14:paraId="3FB5FA99">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699" w:type="dxa"/>
            <w:shd w:val="clear" w:color="auto" w:fill="auto"/>
            <w:tcMar>
              <w:left w:w="108" w:type="dxa"/>
              <w:right w:w="108" w:type="dxa"/>
            </w:tcMar>
            <w:vAlign w:val="center"/>
          </w:tcPr>
          <w:p w14:paraId="2865F8C5">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62" w:type="dxa"/>
            <w:shd w:val="clear" w:color="auto" w:fill="auto"/>
            <w:tcMar>
              <w:left w:w="108" w:type="dxa"/>
              <w:right w:w="108" w:type="dxa"/>
            </w:tcMar>
            <w:vAlign w:val="center"/>
          </w:tcPr>
          <w:p w14:paraId="2B6BA291">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841" w:type="dxa"/>
            <w:shd w:val="clear" w:color="auto" w:fill="auto"/>
            <w:tcMar>
              <w:left w:w="108" w:type="dxa"/>
              <w:right w:w="108" w:type="dxa"/>
            </w:tcMar>
            <w:vAlign w:val="center"/>
          </w:tcPr>
          <w:p w14:paraId="37F48AE8">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55</w:t>
            </w:r>
          </w:p>
        </w:tc>
      </w:tr>
      <w:tr w14:paraId="025BD2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345" w:type="dxa"/>
            <w:gridSpan w:val="3"/>
            <w:shd w:val="clear" w:color="auto" w:fill="auto"/>
            <w:tcMar>
              <w:left w:w="108" w:type="dxa"/>
              <w:right w:w="108" w:type="dxa"/>
            </w:tcMar>
            <w:vAlign w:val="center"/>
          </w:tcPr>
          <w:p w14:paraId="64A728AA">
            <w:pPr>
              <w:keepNext w:val="0"/>
              <w:keepLines w:val="0"/>
              <w:pageBreakBefore w:val="0"/>
              <w:widowControl/>
              <w:kinsoku/>
              <w:wordWrap/>
              <w:overflowPunct/>
              <w:topLinePunct w:val="0"/>
              <w:autoSpaceDE/>
              <w:autoSpaceDN/>
              <w:bidi w:val="0"/>
              <w:adjustRightInd/>
              <w:snapToGrid/>
              <w:spacing w:line="260" w:lineRule="exact"/>
              <w:textAlignment w:val="auto"/>
              <w:rPr>
                <w:rFonts w:ascii="黑体" w:hAnsi="黑体" w:eastAsia="黑体"/>
                <w:kern w:val="0"/>
                <w:sz w:val="24"/>
                <w:szCs w:val="24"/>
              </w:rPr>
            </w:pPr>
            <w:r>
              <w:rPr>
                <w:rFonts w:hint="eastAsia" w:ascii="黑体" w:hAnsi="黑体" w:eastAsia="黑体"/>
                <w:kern w:val="0"/>
                <w:sz w:val="24"/>
                <w:szCs w:val="24"/>
              </w:rPr>
              <w:t>四、结转下年度继续办理</w:t>
            </w:r>
          </w:p>
        </w:tc>
        <w:tc>
          <w:tcPr>
            <w:tcW w:w="597" w:type="dxa"/>
            <w:shd w:val="clear" w:color="auto" w:fill="auto"/>
            <w:tcMar>
              <w:left w:w="108" w:type="dxa"/>
              <w:right w:w="108" w:type="dxa"/>
            </w:tcMar>
            <w:vAlign w:val="center"/>
          </w:tcPr>
          <w:p w14:paraId="66687A84">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3</w:t>
            </w:r>
          </w:p>
        </w:tc>
        <w:tc>
          <w:tcPr>
            <w:tcW w:w="570" w:type="dxa"/>
            <w:shd w:val="clear" w:color="auto" w:fill="auto"/>
            <w:tcMar>
              <w:left w:w="108" w:type="dxa"/>
              <w:right w:w="108" w:type="dxa"/>
            </w:tcMar>
            <w:vAlign w:val="center"/>
          </w:tcPr>
          <w:p w14:paraId="4C66A4AB">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86" w:type="dxa"/>
            <w:shd w:val="clear" w:color="auto" w:fill="auto"/>
            <w:tcMar>
              <w:left w:w="108" w:type="dxa"/>
              <w:right w:w="108" w:type="dxa"/>
            </w:tcMar>
            <w:vAlign w:val="center"/>
          </w:tcPr>
          <w:p w14:paraId="5299B33B">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99" w:type="dxa"/>
            <w:shd w:val="clear" w:color="auto" w:fill="auto"/>
            <w:tcMar>
              <w:left w:w="108" w:type="dxa"/>
              <w:right w:w="108" w:type="dxa"/>
            </w:tcMar>
            <w:vAlign w:val="center"/>
          </w:tcPr>
          <w:p w14:paraId="2C073AFE">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699" w:type="dxa"/>
            <w:shd w:val="clear" w:color="auto" w:fill="auto"/>
            <w:tcMar>
              <w:left w:w="108" w:type="dxa"/>
              <w:right w:w="108" w:type="dxa"/>
            </w:tcMar>
            <w:vAlign w:val="center"/>
          </w:tcPr>
          <w:p w14:paraId="6169BCDB">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562" w:type="dxa"/>
            <w:shd w:val="clear" w:color="auto" w:fill="auto"/>
            <w:tcMar>
              <w:left w:w="108" w:type="dxa"/>
              <w:right w:w="108" w:type="dxa"/>
            </w:tcMar>
            <w:vAlign w:val="center"/>
          </w:tcPr>
          <w:p w14:paraId="1FA1BA49">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0</w:t>
            </w:r>
          </w:p>
        </w:tc>
        <w:tc>
          <w:tcPr>
            <w:tcW w:w="841" w:type="dxa"/>
            <w:shd w:val="clear" w:color="auto" w:fill="auto"/>
            <w:tcMar>
              <w:left w:w="108" w:type="dxa"/>
              <w:right w:w="108" w:type="dxa"/>
            </w:tcMar>
            <w:vAlign w:val="center"/>
          </w:tcPr>
          <w:p w14:paraId="219E6314">
            <w:pPr>
              <w:keepNext w:val="0"/>
              <w:keepLines w:val="0"/>
              <w:pageBreakBefore w:val="0"/>
              <w:widowControl/>
              <w:kinsoku/>
              <w:wordWrap/>
              <w:overflowPunct/>
              <w:topLinePunct w:val="0"/>
              <w:autoSpaceDE/>
              <w:autoSpaceDN/>
              <w:bidi w:val="0"/>
              <w:adjustRightInd/>
              <w:snapToGrid/>
              <w:spacing w:after="180" w:line="260" w:lineRule="exact"/>
              <w:jc w:val="center"/>
              <w:textAlignment w:val="auto"/>
              <w:rPr>
                <w:rFonts w:ascii="仿宋_GB2312" w:hAnsi="Times New Roman" w:eastAsia="仿宋_GB2312"/>
                <w:sz w:val="24"/>
                <w:szCs w:val="24"/>
              </w:rPr>
            </w:pPr>
            <w:r>
              <w:rPr>
                <w:rFonts w:hint="eastAsia" w:ascii="仿宋_GB2312" w:hAnsi="Times New Roman" w:eastAsia="仿宋_GB2312"/>
                <w:sz w:val="24"/>
                <w:szCs w:val="24"/>
                <w:lang w:val="en-US" w:eastAsia="zh-CN"/>
              </w:rPr>
              <w:t>3</w:t>
            </w:r>
          </w:p>
        </w:tc>
      </w:tr>
    </w:tbl>
    <w:p w14:paraId="70B82010">
      <w:pPr>
        <w:widowControl/>
        <w:shd w:val="clear" w:color="auto" w:fill="FFFFFF"/>
        <w:ind w:firstLine="480"/>
        <w:rPr>
          <w:rFonts w:hint="eastAsia" w:ascii="黑体" w:hAnsi="黑体" w:eastAsia="黑体" w:cs="黑体"/>
          <w:b w:val="0"/>
          <w:bCs w:val="0"/>
          <w:color w:val="333333"/>
          <w:kern w:val="0"/>
          <w:sz w:val="32"/>
          <w:szCs w:val="32"/>
        </w:rPr>
      </w:pPr>
      <w:r>
        <w:rPr>
          <w:rFonts w:hint="eastAsia" w:ascii="黑体" w:hAnsi="黑体" w:eastAsia="黑体" w:cs="黑体"/>
          <w:b w:val="0"/>
          <w:bCs w:val="0"/>
          <w:color w:val="333333"/>
          <w:kern w:val="0"/>
          <w:sz w:val="32"/>
          <w:szCs w:val="32"/>
        </w:rPr>
        <w:t>四、政府信息公开行政复议、行政诉讼情况</w:t>
      </w:r>
    </w:p>
    <w:tbl>
      <w:tblPr>
        <w:tblStyle w:val="7"/>
        <w:tblW w:w="9902" w:type="dxa"/>
        <w:jc w:val="center"/>
        <w:tblLayout w:type="autofit"/>
        <w:tblCellMar>
          <w:top w:w="0" w:type="dxa"/>
          <w:left w:w="0" w:type="dxa"/>
          <w:bottom w:w="0" w:type="dxa"/>
          <w:right w:w="0" w:type="dxa"/>
        </w:tblCellMar>
      </w:tblPr>
      <w:tblGrid>
        <w:gridCol w:w="803"/>
        <w:gridCol w:w="649"/>
        <w:gridCol w:w="649"/>
        <w:gridCol w:w="649"/>
        <w:gridCol w:w="649"/>
        <w:gridCol w:w="649"/>
        <w:gridCol w:w="649"/>
        <w:gridCol w:w="650"/>
        <w:gridCol w:w="650"/>
        <w:gridCol w:w="650"/>
        <w:gridCol w:w="651"/>
        <w:gridCol w:w="651"/>
        <w:gridCol w:w="651"/>
        <w:gridCol w:w="651"/>
        <w:gridCol w:w="651"/>
      </w:tblGrid>
      <w:tr w14:paraId="6CFB21C3">
        <w:tblPrEx>
          <w:tblCellMar>
            <w:top w:w="0" w:type="dxa"/>
            <w:left w:w="0" w:type="dxa"/>
            <w:bottom w:w="0" w:type="dxa"/>
            <w:right w:w="0" w:type="dxa"/>
          </w:tblCellMar>
        </w:tblPrEx>
        <w:trPr>
          <w:jc w:val="center"/>
        </w:trPr>
        <w:tc>
          <w:tcPr>
            <w:tcW w:w="3399" w:type="dxa"/>
            <w:gridSpan w:val="5"/>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68E0C0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行政复议</w:t>
            </w:r>
          </w:p>
        </w:tc>
        <w:tc>
          <w:tcPr>
            <w:tcW w:w="6503" w:type="dxa"/>
            <w:gridSpan w:val="10"/>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12D2D9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行政诉讼</w:t>
            </w:r>
          </w:p>
        </w:tc>
      </w:tr>
      <w:tr w14:paraId="4555B387">
        <w:tblPrEx>
          <w:tblCellMar>
            <w:top w:w="0" w:type="dxa"/>
            <w:left w:w="0" w:type="dxa"/>
            <w:bottom w:w="0" w:type="dxa"/>
            <w:right w:w="0" w:type="dxa"/>
          </w:tblCellMar>
        </w:tblPrEx>
        <w:trPr>
          <w:jc w:val="center"/>
        </w:trPr>
        <w:tc>
          <w:tcPr>
            <w:tcW w:w="803"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532DAD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结果维持</w:t>
            </w:r>
          </w:p>
        </w:tc>
        <w:tc>
          <w:tcPr>
            <w:tcW w:w="649"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4ADCAE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结果</w:t>
            </w:r>
            <w:r>
              <w:rPr>
                <w:rFonts w:hint="eastAsia" w:ascii="仿宋_GB2312" w:hAnsi="仿宋_GB2312" w:eastAsia="仿宋_GB2312" w:cs="仿宋_GB2312"/>
                <w:kern w:val="0"/>
                <w:sz w:val="28"/>
                <w:szCs w:val="28"/>
              </w:rPr>
              <w:br w:type="textWrapping"/>
            </w:r>
            <w:r>
              <w:rPr>
                <w:rFonts w:hint="eastAsia" w:ascii="仿宋_GB2312" w:hAnsi="仿宋_GB2312" w:eastAsia="仿宋_GB2312" w:cs="仿宋_GB2312"/>
                <w:kern w:val="0"/>
                <w:sz w:val="28"/>
                <w:szCs w:val="28"/>
              </w:rPr>
              <w:t>纠正</w:t>
            </w:r>
          </w:p>
        </w:tc>
        <w:tc>
          <w:tcPr>
            <w:tcW w:w="649" w:type="dxa"/>
            <w:vMerge w:val="restar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1DD09E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其他</w:t>
            </w:r>
            <w:r>
              <w:rPr>
                <w:rFonts w:hint="eastAsia" w:ascii="仿宋_GB2312" w:hAnsi="仿宋_GB2312" w:eastAsia="仿宋_GB2312" w:cs="仿宋_GB2312"/>
                <w:kern w:val="0"/>
                <w:sz w:val="28"/>
                <w:szCs w:val="28"/>
              </w:rPr>
              <w:br w:type="textWrapping"/>
            </w:r>
            <w:r>
              <w:rPr>
                <w:rFonts w:hint="eastAsia" w:ascii="仿宋_GB2312" w:hAnsi="仿宋_GB2312" w:eastAsia="仿宋_GB2312" w:cs="仿宋_GB2312"/>
                <w:kern w:val="0"/>
                <w:sz w:val="28"/>
                <w:szCs w:val="28"/>
              </w:rPr>
              <w:t>结果</w:t>
            </w:r>
          </w:p>
        </w:tc>
        <w:tc>
          <w:tcPr>
            <w:tcW w:w="649" w:type="dxa"/>
            <w:vMerge w:val="restar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27549E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尚未</w:t>
            </w:r>
            <w:r>
              <w:rPr>
                <w:rFonts w:hint="eastAsia" w:ascii="仿宋_GB2312" w:hAnsi="仿宋_GB2312" w:eastAsia="仿宋_GB2312" w:cs="仿宋_GB2312"/>
                <w:kern w:val="0"/>
                <w:sz w:val="28"/>
                <w:szCs w:val="28"/>
              </w:rPr>
              <w:br w:type="textWrapping"/>
            </w:r>
            <w:r>
              <w:rPr>
                <w:rFonts w:hint="eastAsia" w:ascii="仿宋_GB2312" w:hAnsi="仿宋_GB2312" w:eastAsia="仿宋_GB2312" w:cs="仿宋_GB2312"/>
                <w:kern w:val="0"/>
                <w:sz w:val="28"/>
                <w:szCs w:val="28"/>
              </w:rPr>
              <w:t>审结</w:t>
            </w:r>
          </w:p>
        </w:tc>
        <w:tc>
          <w:tcPr>
            <w:tcW w:w="649" w:type="dxa"/>
            <w:vMerge w:val="restar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747DFF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总计</w:t>
            </w:r>
          </w:p>
        </w:tc>
        <w:tc>
          <w:tcPr>
            <w:tcW w:w="3248" w:type="dxa"/>
            <w:gridSpan w:val="5"/>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13A842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未经复议直接起诉</w:t>
            </w:r>
          </w:p>
        </w:tc>
        <w:tc>
          <w:tcPr>
            <w:tcW w:w="3255" w:type="dxa"/>
            <w:gridSpan w:val="5"/>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BD61E1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复议后起诉</w:t>
            </w:r>
          </w:p>
        </w:tc>
      </w:tr>
      <w:tr w14:paraId="2F62B7D3">
        <w:tblPrEx>
          <w:tblCellMar>
            <w:top w:w="0" w:type="dxa"/>
            <w:left w:w="0" w:type="dxa"/>
            <w:bottom w:w="0" w:type="dxa"/>
            <w:right w:w="0" w:type="dxa"/>
          </w:tblCellMar>
        </w:tblPrEx>
        <w:trPr>
          <w:jc w:val="center"/>
        </w:trPr>
        <w:tc>
          <w:tcPr>
            <w:tcW w:w="803" w:type="dxa"/>
            <w:vMerge w:val="continue"/>
            <w:tcBorders>
              <w:top w:val="nil"/>
              <w:left w:val="single" w:color="auto" w:sz="8" w:space="0"/>
              <w:bottom w:val="single" w:color="auto" w:sz="8" w:space="0"/>
              <w:right w:val="single" w:color="auto" w:sz="8" w:space="0"/>
            </w:tcBorders>
            <w:vAlign w:val="center"/>
          </w:tcPr>
          <w:p w14:paraId="723CA09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kern w:val="0"/>
                <w:sz w:val="28"/>
                <w:szCs w:val="28"/>
              </w:rPr>
            </w:pPr>
          </w:p>
        </w:tc>
        <w:tc>
          <w:tcPr>
            <w:tcW w:w="649" w:type="dxa"/>
            <w:vMerge w:val="continue"/>
            <w:tcBorders>
              <w:top w:val="nil"/>
              <w:left w:val="single" w:color="auto" w:sz="8" w:space="0"/>
              <w:bottom w:val="single" w:color="auto" w:sz="8" w:space="0"/>
              <w:right w:val="single" w:color="auto" w:sz="8" w:space="0"/>
            </w:tcBorders>
            <w:vAlign w:val="center"/>
          </w:tcPr>
          <w:p w14:paraId="7D15CC5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kern w:val="0"/>
                <w:sz w:val="28"/>
                <w:szCs w:val="28"/>
              </w:rPr>
            </w:pPr>
          </w:p>
        </w:tc>
        <w:tc>
          <w:tcPr>
            <w:tcW w:w="649" w:type="dxa"/>
            <w:vMerge w:val="continue"/>
            <w:tcBorders>
              <w:top w:val="single" w:color="auto" w:sz="8" w:space="0"/>
              <w:left w:val="single" w:color="auto" w:sz="8" w:space="0"/>
              <w:bottom w:val="single" w:color="auto" w:sz="8" w:space="0"/>
              <w:right w:val="single" w:color="auto" w:sz="8" w:space="0"/>
            </w:tcBorders>
            <w:vAlign w:val="center"/>
          </w:tcPr>
          <w:p w14:paraId="5F16458F">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kern w:val="0"/>
                <w:sz w:val="28"/>
                <w:szCs w:val="28"/>
              </w:rPr>
            </w:pPr>
          </w:p>
        </w:tc>
        <w:tc>
          <w:tcPr>
            <w:tcW w:w="649" w:type="dxa"/>
            <w:vMerge w:val="continue"/>
            <w:tcBorders>
              <w:top w:val="single" w:color="auto" w:sz="8" w:space="0"/>
              <w:left w:val="single" w:color="auto" w:sz="8" w:space="0"/>
              <w:bottom w:val="single" w:color="auto" w:sz="8" w:space="0"/>
              <w:right w:val="single" w:color="auto" w:sz="8" w:space="0"/>
            </w:tcBorders>
            <w:vAlign w:val="center"/>
          </w:tcPr>
          <w:p w14:paraId="36637F3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kern w:val="0"/>
                <w:sz w:val="28"/>
                <w:szCs w:val="28"/>
              </w:rPr>
            </w:pPr>
          </w:p>
        </w:tc>
        <w:tc>
          <w:tcPr>
            <w:tcW w:w="649" w:type="dxa"/>
            <w:vMerge w:val="continue"/>
            <w:tcBorders>
              <w:top w:val="single" w:color="auto" w:sz="8" w:space="0"/>
              <w:left w:val="single" w:color="auto" w:sz="8" w:space="0"/>
              <w:bottom w:val="single" w:color="auto" w:sz="8" w:space="0"/>
              <w:right w:val="single" w:color="auto" w:sz="8" w:space="0"/>
            </w:tcBorders>
            <w:vAlign w:val="center"/>
          </w:tcPr>
          <w:p w14:paraId="3C0A51A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kern w:val="0"/>
                <w:sz w:val="28"/>
                <w:szCs w:val="28"/>
              </w:rPr>
            </w:pPr>
          </w:p>
        </w:tc>
        <w:tc>
          <w:tcPr>
            <w:tcW w:w="64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EED9A3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结果</w:t>
            </w:r>
            <w:r>
              <w:rPr>
                <w:rFonts w:hint="eastAsia" w:ascii="仿宋_GB2312" w:hAnsi="仿宋_GB2312" w:eastAsia="仿宋_GB2312" w:cs="仿宋_GB2312"/>
                <w:kern w:val="0"/>
                <w:sz w:val="28"/>
                <w:szCs w:val="28"/>
              </w:rPr>
              <w:br w:type="textWrapping"/>
            </w:r>
            <w:r>
              <w:rPr>
                <w:rFonts w:hint="eastAsia" w:ascii="仿宋_GB2312" w:hAnsi="仿宋_GB2312" w:eastAsia="仿宋_GB2312" w:cs="仿宋_GB2312"/>
                <w:kern w:val="0"/>
                <w:sz w:val="28"/>
                <w:szCs w:val="28"/>
              </w:rPr>
              <w:t>维持</w:t>
            </w:r>
          </w:p>
        </w:tc>
        <w:tc>
          <w:tcPr>
            <w:tcW w:w="64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89F014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结果</w:t>
            </w:r>
            <w:r>
              <w:rPr>
                <w:rFonts w:hint="eastAsia" w:ascii="仿宋_GB2312" w:hAnsi="仿宋_GB2312" w:eastAsia="仿宋_GB2312" w:cs="仿宋_GB2312"/>
                <w:kern w:val="0"/>
                <w:sz w:val="28"/>
                <w:szCs w:val="28"/>
              </w:rPr>
              <w:br w:type="textWrapping"/>
            </w:r>
            <w:r>
              <w:rPr>
                <w:rFonts w:hint="eastAsia" w:ascii="仿宋_GB2312" w:hAnsi="仿宋_GB2312" w:eastAsia="仿宋_GB2312" w:cs="仿宋_GB2312"/>
                <w:kern w:val="0"/>
                <w:sz w:val="28"/>
                <w:szCs w:val="28"/>
              </w:rPr>
              <w:t>纠正</w:t>
            </w:r>
          </w:p>
        </w:tc>
        <w:tc>
          <w:tcPr>
            <w:tcW w:w="65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1AFF4E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其他</w:t>
            </w:r>
            <w:r>
              <w:rPr>
                <w:rFonts w:hint="eastAsia" w:ascii="仿宋_GB2312" w:hAnsi="仿宋_GB2312" w:eastAsia="仿宋_GB2312" w:cs="仿宋_GB2312"/>
                <w:kern w:val="0"/>
                <w:sz w:val="28"/>
                <w:szCs w:val="28"/>
              </w:rPr>
              <w:br w:type="textWrapping"/>
            </w:r>
            <w:r>
              <w:rPr>
                <w:rFonts w:hint="eastAsia" w:ascii="仿宋_GB2312" w:hAnsi="仿宋_GB2312" w:eastAsia="仿宋_GB2312" w:cs="仿宋_GB2312"/>
                <w:kern w:val="0"/>
                <w:sz w:val="28"/>
                <w:szCs w:val="28"/>
              </w:rPr>
              <w:t>结果</w:t>
            </w:r>
          </w:p>
        </w:tc>
        <w:tc>
          <w:tcPr>
            <w:tcW w:w="65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8C2197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尚未</w:t>
            </w:r>
            <w:r>
              <w:rPr>
                <w:rFonts w:hint="eastAsia" w:ascii="仿宋_GB2312" w:hAnsi="仿宋_GB2312" w:eastAsia="仿宋_GB2312" w:cs="仿宋_GB2312"/>
                <w:kern w:val="0"/>
                <w:sz w:val="28"/>
                <w:szCs w:val="28"/>
              </w:rPr>
              <w:br w:type="textWrapping"/>
            </w:r>
            <w:r>
              <w:rPr>
                <w:rFonts w:hint="eastAsia" w:ascii="仿宋_GB2312" w:hAnsi="仿宋_GB2312" w:eastAsia="仿宋_GB2312" w:cs="仿宋_GB2312"/>
                <w:kern w:val="0"/>
                <w:sz w:val="28"/>
                <w:szCs w:val="28"/>
              </w:rPr>
              <w:t>审结</w:t>
            </w:r>
          </w:p>
        </w:tc>
        <w:tc>
          <w:tcPr>
            <w:tcW w:w="65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2B2856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总计</w:t>
            </w:r>
          </w:p>
        </w:tc>
        <w:tc>
          <w:tcPr>
            <w:tcW w:w="651"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71507E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结果</w:t>
            </w:r>
            <w:r>
              <w:rPr>
                <w:rFonts w:hint="eastAsia" w:ascii="仿宋_GB2312" w:hAnsi="仿宋_GB2312" w:eastAsia="仿宋_GB2312" w:cs="仿宋_GB2312"/>
                <w:kern w:val="0"/>
                <w:sz w:val="28"/>
                <w:szCs w:val="28"/>
              </w:rPr>
              <w:br w:type="textWrapping"/>
            </w:r>
            <w:r>
              <w:rPr>
                <w:rFonts w:hint="eastAsia" w:ascii="仿宋_GB2312" w:hAnsi="仿宋_GB2312" w:eastAsia="仿宋_GB2312" w:cs="仿宋_GB2312"/>
                <w:kern w:val="0"/>
                <w:sz w:val="28"/>
                <w:szCs w:val="28"/>
              </w:rPr>
              <w:t>维持</w:t>
            </w:r>
          </w:p>
        </w:tc>
        <w:tc>
          <w:tcPr>
            <w:tcW w:w="651"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1F0EDD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结果</w:t>
            </w:r>
            <w:r>
              <w:rPr>
                <w:rFonts w:hint="eastAsia" w:ascii="仿宋_GB2312" w:hAnsi="仿宋_GB2312" w:eastAsia="仿宋_GB2312" w:cs="仿宋_GB2312"/>
                <w:kern w:val="0"/>
                <w:sz w:val="28"/>
                <w:szCs w:val="28"/>
              </w:rPr>
              <w:br w:type="textWrapping"/>
            </w:r>
            <w:r>
              <w:rPr>
                <w:rFonts w:hint="eastAsia" w:ascii="仿宋_GB2312" w:hAnsi="仿宋_GB2312" w:eastAsia="仿宋_GB2312" w:cs="仿宋_GB2312"/>
                <w:kern w:val="0"/>
                <w:sz w:val="28"/>
                <w:szCs w:val="28"/>
              </w:rPr>
              <w:t>纠正</w:t>
            </w:r>
          </w:p>
        </w:tc>
        <w:tc>
          <w:tcPr>
            <w:tcW w:w="651"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D4B757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其他</w:t>
            </w:r>
            <w:r>
              <w:rPr>
                <w:rFonts w:hint="eastAsia" w:ascii="仿宋_GB2312" w:hAnsi="仿宋_GB2312" w:eastAsia="仿宋_GB2312" w:cs="仿宋_GB2312"/>
                <w:color w:val="000000"/>
                <w:kern w:val="0"/>
                <w:sz w:val="28"/>
                <w:szCs w:val="28"/>
              </w:rPr>
              <w:br w:type="textWrapping"/>
            </w:r>
            <w:r>
              <w:rPr>
                <w:rFonts w:hint="eastAsia" w:ascii="仿宋_GB2312" w:hAnsi="仿宋_GB2312" w:eastAsia="仿宋_GB2312" w:cs="仿宋_GB2312"/>
                <w:color w:val="000000"/>
                <w:kern w:val="0"/>
                <w:sz w:val="28"/>
                <w:szCs w:val="28"/>
              </w:rPr>
              <w:t>结果</w:t>
            </w:r>
          </w:p>
        </w:tc>
        <w:tc>
          <w:tcPr>
            <w:tcW w:w="651"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C532AE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尚未</w:t>
            </w:r>
            <w:r>
              <w:rPr>
                <w:rFonts w:hint="eastAsia" w:ascii="仿宋_GB2312" w:hAnsi="仿宋_GB2312" w:eastAsia="仿宋_GB2312" w:cs="仿宋_GB2312"/>
                <w:kern w:val="0"/>
                <w:sz w:val="28"/>
                <w:szCs w:val="28"/>
              </w:rPr>
              <w:br w:type="textWrapping"/>
            </w:r>
            <w:r>
              <w:rPr>
                <w:rFonts w:hint="eastAsia" w:ascii="仿宋_GB2312" w:hAnsi="仿宋_GB2312" w:eastAsia="仿宋_GB2312" w:cs="仿宋_GB2312"/>
                <w:kern w:val="0"/>
                <w:sz w:val="28"/>
                <w:szCs w:val="28"/>
              </w:rPr>
              <w:t>审结</w:t>
            </w:r>
          </w:p>
        </w:tc>
        <w:tc>
          <w:tcPr>
            <w:tcW w:w="651"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F0155A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总计</w:t>
            </w:r>
          </w:p>
        </w:tc>
      </w:tr>
      <w:tr w14:paraId="23E432FB">
        <w:tblPrEx>
          <w:tblCellMar>
            <w:top w:w="0" w:type="dxa"/>
            <w:left w:w="0" w:type="dxa"/>
            <w:bottom w:w="0" w:type="dxa"/>
            <w:right w:w="0" w:type="dxa"/>
          </w:tblCellMar>
        </w:tblPrEx>
        <w:trPr>
          <w:trHeight w:val="672" w:hRule="atLeast"/>
          <w:jc w:val="center"/>
        </w:trPr>
        <w:tc>
          <w:tcPr>
            <w:tcW w:w="80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825C43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0</w:t>
            </w:r>
          </w:p>
        </w:tc>
        <w:tc>
          <w:tcPr>
            <w:tcW w:w="64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F19AE0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lang w:val="en-US" w:eastAsia="zh-CN"/>
              </w:rPr>
              <w:t>0</w:t>
            </w:r>
          </w:p>
        </w:tc>
        <w:tc>
          <w:tcPr>
            <w:tcW w:w="64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D6E4EB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lang w:val="en-US" w:eastAsia="zh-CN"/>
              </w:rPr>
              <w:t>0</w:t>
            </w:r>
          </w:p>
        </w:tc>
        <w:tc>
          <w:tcPr>
            <w:tcW w:w="64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5DF216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lang w:val="en-US" w:eastAsia="zh-CN"/>
              </w:rPr>
              <w:t>1</w:t>
            </w:r>
          </w:p>
        </w:tc>
        <w:tc>
          <w:tcPr>
            <w:tcW w:w="64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6AD3B3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lang w:val="en-US" w:eastAsia="zh-CN"/>
              </w:rPr>
              <w:t>1</w:t>
            </w:r>
          </w:p>
        </w:tc>
        <w:tc>
          <w:tcPr>
            <w:tcW w:w="64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2802F6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0</w:t>
            </w:r>
          </w:p>
        </w:tc>
        <w:tc>
          <w:tcPr>
            <w:tcW w:w="64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9D8E9E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0</w:t>
            </w:r>
          </w:p>
        </w:tc>
        <w:tc>
          <w:tcPr>
            <w:tcW w:w="65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2D5C59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lang w:val="en-US" w:eastAsia="zh-CN"/>
              </w:rPr>
              <w:t>0</w:t>
            </w:r>
          </w:p>
        </w:tc>
        <w:tc>
          <w:tcPr>
            <w:tcW w:w="65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C9D634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lang w:val="en-US" w:eastAsia="zh-CN"/>
              </w:rPr>
              <w:t>0</w:t>
            </w:r>
          </w:p>
        </w:tc>
        <w:tc>
          <w:tcPr>
            <w:tcW w:w="65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E63602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lang w:val="en-US" w:eastAsia="zh-CN"/>
              </w:rPr>
              <w:t>0</w:t>
            </w:r>
          </w:p>
        </w:tc>
        <w:tc>
          <w:tcPr>
            <w:tcW w:w="65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681319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lang w:val="en-US" w:eastAsia="zh-CN"/>
              </w:rPr>
              <w:t>0</w:t>
            </w:r>
          </w:p>
        </w:tc>
        <w:tc>
          <w:tcPr>
            <w:tcW w:w="65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3457F4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0</w:t>
            </w:r>
          </w:p>
        </w:tc>
        <w:tc>
          <w:tcPr>
            <w:tcW w:w="65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34CBA0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lang w:val="en-US" w:eastAsia="zh-CN"/>
              </w:rPr>
              <w:t>0</w:t>
            </w:r>
          </w:p>
        </w:tc>
        <w:tc>
          <w:tcPr>
            <w:tcW w:w="65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2E72CB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lang w:val="en-US" w:eastAsia="zh-CN"/>
              </w:rPr>
              <w:t>0</w:t>
            </w:r>
          </w:p>
        </w:tc>
        <w:tc>
          <w:tcPr>
            <w:tcW w:w="65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5E45C6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0</w:t>
            </w:r>
          </w:p>
        </w:tc>
      </w:tr>
    </w:tbl>
    <w:p w14:paraId="317BEB5A">
      <w:pPr>
        <w:keepNext w:val="0"/>
        <w:keepLines w:val="0"/>
        <w:pageBreakBefore w:val="0"/>
        <w:widowControl/>
        <w:shd w:val="clear" w:color="auto" w:fill="FFFFFF"/>
        <w:kinsoku/>
        <w:wordWrap/>
        <w:overflowPunct/>
        <w:topLinePunct w:val="0"/>
        <w:autoSpaceDE/>
        <w:autoSpaceDN/>
        <w:bidi w:val="0"/>
        <w:adjustRightInd/>
        <w:snapToGrid/>
        <w:spacing w:line="560" w:lineRule="exact"/>
        <w:ind w:left="0" w:leftChars="0" w:firstLine="659" w:firstLineChars="206"/>
        <w:textAlignment w:val="auto"/>
        <w:rPr>
          <w:rFonts w:hint="eastAsia" w:ascii="黑体" w:hAnsi="黑体" w:eastAsia="黑体" w:cs="黑体"/>
          <w:b w:val="0"/>
          <w:bCs w:val="0"/>
          <w:color w:val="333333"/>
          <w:kern w:val="0"/>
          <w:sz w:val="32"/>
          <w:szCs w:val="32"/>
        </w:rPr>
      </w:pPr>
      <w:r>
        <w:rPr>
          <w:rFonts w:hint="eastAsia" w:ascii="黑体" w:hAnsi="黑体" w:eastAsia="黑体" w:cs="黑体"/>
          <w:b w:val="0"/>
          <w:bCs w:val="0"/>
          <w:color w:val="333333"/>
          <w:kern w:val="0"/>
          <w:sz w:val="32"/>
          <w:szCs w:val="32"/>
        </w:rPr>
        <w:t>五、存在的主要问题及改进情况</w:t>
      </w:r>
    </w:p>
    <w:p w14:paraId="06B14F5C">
      <w:pPr>
        <w:keepNext w:val="0"/>
        <w:keepLines w:val="0"/>
        <w:pageBreakBefore w:val="0"/>
        <w:widowControl/>
        <w:shd w:val="clear" w:color="auto" w:fill="FFFFFF"/>
        <w:kinsoku/>
        <w:wordWrap/>
        <w:overflowPunct/>
        <w:topLinePunct w:val="0"/>
        <w:autoSpaceDE/>
        <w:autoSpaceDN/>
        <w:bidi w:val="0"/>
        <w:adjustRightInd/>
        <w:snapToGrid/>
        <w:spacing w:line="560" w:lineRule="exact"/>
        <w:ind w:left="0" w:leftChars="0" w:firstLine="659" w:firstLineChars="206"/>
        <w:textAlignment w:val="auto"/>
        <w:rPr>
          <w:rFonts w:hint="eastAsia" w:ascii="仿宋_GB2312" w:hAnsi="仿宋_GB2312" w:eastAsia="仿宋_GB2312" w:cs="仿宋_GB2312"/>
          <w:i w:val="0"/>
          <w:iCs w:val="0"/>
          <w:caps w:val="0"/>
          <w:color w:val="333333"/>
          <w:spacing w:val="0"/>
          <w:sz w:val="32"/>
          <w:szCs w:val="32"/>
          <w:lang w:eastAsia="zh-CN"/>
        </w:rPr>
      </w:pPr>
      <w:r>
        <w:rPr>
          <w:rFonts w:hint="eastAsia" w:ascii="仿宋_GB2312" w:hAnsi="仿宋_GB2312" w:eastAsia="仿宋_GB2312" w:cs="仿宋_GB2312"/>
          <w:i w:val="0"/>
          <w:iCs w:val="0"/>
          <w:caps w:val="0"/>
          <w:color w:val="333333"/>
          <w:spacing w:val="0"/>
          <w:sz w:val="32"/>
          <w:szCs w:val="32"/>
        </w:rPr>
        <w:t>2024年，</w:t>
      </w:r>
      <w:r>
        <w:rPr>
          <w:rFonts w:hint="eastAsia" w:ascii="仿宋_GB2312" w:hAnsi="仿宋_GB2312" w:eastAsia="仿宋_GB2312" w:cs="仿宋_GB2312"/>
          <w:i w:val="0"/>
          <w:iCs w:val="0"/>
          <w:caps w:val="0"/>
          <w:color w:val="333333"/>
          <w:spacing w:val="0"/>
          <w:sz w:val="32"/>
          <w:szCs w:val="32"/>
          <w:lang w:val="en-US" w:eastAsia="zh-CN"/>
        </w:rPr>
        <w:t>济南市卫生健康委</w:t>
      </w:r>
      <w:r>
        <w:rPr>
          <w:rFonts w:hint="eastAsia" w:ascii="仿宋_GB2312" w:hAnsi="仿宋_GB2312" w:eastAsia="仿宋_GB2312" w:cs="仿宋_GB2312"/>
          <w:i w:val="0"/>
          <w:iCs w:val="0"/>
          <w:caps w:val="0"/>
          <w:color w:val="333333"/>
          <w:spacing w:val="0"/>
          <w:sz w:val="32"/>
          <w:szCs w:val="32"/>
        </w:rPr>
        <w:t>信息公开工作取得了一定成绩，但也存在一些问题和不足，</w:t>
      </w:r>
      <w:r>
        <w:rPr>
          <w:rFonts w:hint="eastAsia" w:ascii="仿宋_GB2312" w:hAnsi="仿宋_GB2312" w:eastAsia="仿宋_GB2312" w:cs="仿宋_GB2312"/>
          <w:i w:val="0"/>
          <w:iCs w:val="0"/>
          <w:caps w:val="0"/>
          <w:color w:val="333333"/>
          <w:spacing w:val="0"/>
          <w:sz w:val="32"/>
          <w:szCs w:val="32"/>
          <w:lang w:val="en-US" w:eastAsia="zh-CN"/>
        </w:rPr>
        <w:t>主要是对新实施的政府信息公开效能监测理解还不太深入，</w:t>
      </w:r>
      <w:r>
        <w:rPr>
          <w:rFonts w:hint="eastAsia" w:ascii="仿宋_GB2312" w:hAnsi="仿宋_GB2312" w:eastAsia="仿宋_GB2312" w:cs="仿宋_GB2312"/>
          <w:i w:val="0"/>
          <w:iCs w:val="0"/>
          <w:caps w:val="0"/>
          <w:color w:val="333333"/>
          <w:spacing w:val="0"/>
          <w:sz w:val="32"/>
          <w:szCs w:val="32"/>
        </w:rPr>
        <w:t>政务公开服务群众的广度和深度有待进一步加强。针对上述问题，将重点抓好以下工作：一是</w:t>
      </w:r>
      <w:r>
        <w:rPr>
          <w:rFonts w:hint="eastAsia" w:ascii="仿宋_GB2312" w:hAnsi="仿宋_GB2312" w:eastAsia="仿宋_GB2312" w:cs="仿宋_GB2312"/>
          <w:i w:val="0"/>
          <w:iCs w:val="0"/>
          <w:caps w:val="0"/>
          <w:color w:val="333333"/>
          <w:spacing w:val="0"/>
          <w:sz w:val="32"/>
          <w:szCs w:val="32"/>
          <w:lang w:val="en-US" w:eastAsia="zh-CN"/>
        </w:rPr>
        <w:t>认真学习研究市政府办公厅政府信息效能监测方案，全面掌握效能监测的内容，积极对接上级主管部门解疑释惑；加强对机关业务处室和委属单位的业务指导，落实好效能监测的有关工作，加强督导整改，把效能监测工作落实到位。二是站在群众立场，采用群众通俗易懂和喜闻乐见的形式，加强政民互动，线上及时回应群众意见，线下邀请参加“医院开放日”或“走进医院看服务”活动，让群众对相关政策看得懂、听得清、易理解，</w:t>
      </w:r>
      <w:r>
        <w:rPr>
          <w:rFonts w:hint="eastAsia" w:ascii="仿宋_GB2312" w:hAnsi="仿宋_GB2312" w:eastAsia="仿宋_GB2312" w:cs="仿宋_GB2312"/>
          <w:i w:val="0"/>
          <w:iCs w:val="0"/>
          <w:caps w:val="0"/>
          <w:color w:val="333333"/>
          <w:spacing w:val="0"/>
          <w:sz w:val="32"/>
          <w:szCs w:val="32"/>
          <w:lang w:eastAsia="zh-CN"/>
        </w:rPr>
        <w:t>提高群众就医现场体验感。</w:t>
      </w:r>
    </w:p>
    <w:p w14:paraId="4AD857FC">
      <w:pPr>
        <w:keepNext w:val="0"/>
        <w:keepLines w:val="0"/>
        <w:pageBreakBefore w:val="0"/>
        <w:widowControl/>
        <w:shd w:val="clear" w:color="auto" w:fill="FFFFFF"/>
        <w:kinsoku/>
        <w:wordWrap/>
        <w:overflowPunct/>
        <w:topLinePunct w:val="0"/>
        <w:autoSpaceDE/>
        <w:autoSpaceDN/>
        <w:bidi w:val="0"/>
        <w:adjustRightInd/>
        <w:snapToGrid/>
        <w:spacing w:line="560" w:lineRule="exact"/>
        <w:ind w:left="0" w:leftChars="0" w:firstLine="659" w:firstLineChars="206"/>
        <w:textAlignment w:val="auto"/>
        <w:rPr>
          <w:rFonts w:hint="eastAsia" w:ascii="黑体" w:hAnsi="黑体" w:eastAsia="黑体" w:cs="黑体"/>
          <w:b w:val="0"/>
          <w:bCs w:val="0"/>
          <w:color w:val="333333"/>
          <w:kern w:val="0"/>
          <w:sz w:val="32"/>
          <w:szCs w:val="32"/>
        </w:rPr>
      </w:pPr>
      <w:r>
        <w:rPr>
          <w:rFonts w:hint="eastAsia" w:ascii="黑体" w:hAnsi="黑体" w:eastAsia="黑体" w:cs="黑体"/>
          <w:b w:val="0"/>
          <w:bCs w:val="0"/>
          <w:color w:val="333333"/>
          <w:kern w:val="0"/>
          <w:sz w:val="32"/>
          <w:szCs w:val="32"/>
        </w:rPr>
        <w:t>六、其他需要报告的事项</w:t>
      </w:r>
    </w:p>
    <w:p w14:paraId="3F40F5B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firstLine="659" w:firstLineChars="206"/>
        <w:jc w:val="left"/>
        <w:textAlignment w:val="auto"/>
        <w:rPr>
          <w:rFonts w:hint="default" w:ascii="微软雅黑" w:hAnsi="微软雅黑" w:eastAsia="楷体_GB2312" w:cs="微软雅黑"/>
          <w:i w:val="0"/>
          <w:iCs w:val="0"/>
          <w:caps w:val="0"/>
          <w:color w:val="333333"/>
          <w:spacing w:val="0"/>
          <w:sz w:val="32"/>
          <w:szCs w:val="32"/>
          <w:lang w:val="en-US" w:eastAsia="zh-CN"/>
        </w:rPr>
      </w:pPr>
      <w:r>
        <w:rPr>
          <w:rFonts w:ascii="楷体_GB2312" w:hAnsi="微软雅黑" w:eastAsia="楷体_GB2312" w:cs="楷体_GB2312"/>
          <w:i w:val="0"/>
          <w:iCs w:val="0"/>
          <w:caps w:val="0"/>
          <w:color w:val="333333"/>
          <w:spacing w:val="0"/>
          <w:sz w:val="32"/>
          <w:szCs w:val="32"/>
        </w:rPr>
        <w:t>（一）依据《政府信息公开信息处理费管理办法》收取信息处理费的情况</w:t>
      </w:r>
      <w:r>
        <w:rPr>
          <w:rFonts w:hint="eastAsia" w:ascii="楷体_GB2312" w:hAnsi="微软雅黑" w:eastAsia="楷体_GB2312" w:cs="楷体_GB2312"/>
          <w:i w:val="0"/>
          <w:iCs w:val="0"/>
          <w:caps w:val="0"/>
          <w:color w:val="333333"/>
          <w:spacing w:val="0"/>
          <w:sz w:val="32"/>
          <w:szCs w:val="32"/>
          <w:lang w:eastAsia="zh-CN"/>
        </w:rPr>
        <w:t>。</w:t>
      </w:r>
    </w:p>
    <w:p w14:paraId="7D5CE1B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firstLine="659" w:firstLineChars="206"/>
        <w:jc w:val="left"/>
        <w:textAlignment w:val="auto"/>
        <w:rPr>
          <w:rFonts w:hint="eastAsia" w:ascii="微软雅黑" w:hAnsi="微软雅黑" w:eastAsia="微软雅黑" w:cs="微软雅黑"/>
          <w:i w:val="0"/>
          <w:iCs w:val="0"/>
          <w:caps w:val="0"/>
          <w:color w:val="333333"/>
          <w:spacing w:val="0"/>
          <w:sz w:val="32"/>
          <w:szCs w:val="32"/>
        </w:rPr>
      </w:pPr>
      <w:r>
        <w:rPr>
          <w:rFonts w:ascii="仿宋_GB2312" w:hAnsi="微软雅黑" w:eastAsia="仿宋_GB2312" w:cs="仿宋_GB2312"/>
          <w:i w:val="0"/>
          <w:iCs w:val="0"/>
          <w:caps w:val="0"/>
          <w:color w:val="333333"/>
          <w:spacing w:val="0"/>
          <w:sz w:val="32"/>
          <w:szCs w:val="32"/>
        </w:rPr>
        <w:t>2</w:t>
      </w:r>
      <w:r>
        <w:rPr>
          <w:rFonts w:hint="eastAsia" w:ascii="仿宋_GB2312" w:hAnsi="微软雅黑" w:eastAsia="仿宋_GB2312" w:cs="仿宋_GB2312"/>
          <w:i w:val="0"/>
          <w:iCs w:val="0"/>
          <w:caps w:val="0"/>
          <w:color w:val="333333"/>
          <w:spacing w:val="0"/>
          <w:sz w:val="32"/>
          <w:szCs w:val="32"/>
        </w:rPr>
        <w:t>02</w:t>
      </w:r>
      <w:r>
        <w:rPr>
          <w:rFonts w:hint="eastAsia" w:ascii="仿宋_GB2312" w:hAnsi="微软雅黑" w:eastAsia="仿宋_GB2312" w:cs="仿宋_GB2312"/>
          <w:i w:val="0"/>
          <w:iCs w:val="0"/>
          <w:caps w:val="0"/>
          <w:color w:val="333333"/>
          <w:spacing w:val="0"/>
          <w:sz w:val="32"/>
          <w:szCs w:val="32"/>
          <w:lang w:val="en-US" w:eastAsia="zh-CN"/>
        </w:rPr>
        <w:t>4</w:t>
      </w:r>
      <w:r>
        <w:rPr>
          <w:rFonts w:hint="eastAsia" w:ascii="仿宋_GB2312" w:hAnsi="微软雅黑" w:eastAsia="仿宋_GB2312" w:cs="仿宋_GB2312"/>
          <w:i w:val="0"/>
          <w:iCs w:val="0"/>
          <w:caps w:val="0"/>
          <w:color w:val="333333"/>
          <w:spacing w:val="0"/>
          <w:sz w:val="32"/>
          <w:szCs w:val="32"/>
        </w:rPr>
        <w:t>年，</w:t>
      </w:r>
      <w:r>
        <w:rPr>
          <w:rFonts w:hint="eastAsia" w:ascii="仿宋_GB2312" w:hAnsi="微软雅黑" w:eastAsia="仿宋_GB2312" w:cs="仿宋_GB2312"/>
          <w:i w:val="0"/>
          <w:iCs w:val="0"/>
          <w:caps w:val="0"/>
          <w:color w:val="333333"/>
          <w:spacing w:val="0"/>
          <w:sz w:val="32"/>
          <w:szCs w:val="32"/>
          <w:lang w:val="en-US" w:eastAsia="zh-CN"/>
        </w:rPr>
        <w:t>济南</w:t>
      </w:r>
      <w:r>
        <w:rPr>
          <w:rFonts w:hint="eastAsia" w:ascii="仿宋_GB2312" w:hAnsi="微软雅黑" w:eastAsia="仿宋_GB2312" w:cs="仿宋_GB2312"/>
          <w:i w:val="0"/>
          <w:iCs w:val="0"/>
          <w:caps w:val="0"/>
          <w:color w:val="333333"/>
          <w:spacing w:val="0"/>
          <w:sz w:val="32"/>
          <w:szCs w:val="32"/>
        </w:rPr>
        <w:t>市卫生健康委未收取信息</w:t>
      </w:r>
      <w:r>
        <w:rPr>
          <w:rFonts w:hint="eastAsia" w:ascii="仿宋_GB2312" w:hAnsi="微软雅黑" w:eastAsia="仿宋_GB2312" w:cs="仿宋_GB2312"/>
          <w:i w:val="0"/>
          <w:iCs w:val="0"/>
          <w:caps w:val="0"/>
          <w:color w:val="333333"/>
          <w:spacing w:val="0"/>
          <w:sz w:val="32"/>
          <w:szCs w:val="32"/>
          <w:lang w:val="en-US" w:eastAsia="zh-CN"/>
        </w:rPr>
        <w:t>处理费</w:t>
      </w:r>
      <w:r>
        <w:rPr>
          <w:rFonts w:hint="eastAsia" w:ascii="仿宋_GB2312" w:hAnsi="微软雅黑" w:eastAsia="仿宋_GB2312" w:cs="仿宋_GB2312"/>
          <w:i w:val="0"/>
          <w:iCs w:val="0"/>
          <w:caps w:val="0"/>
          <w:color w:val="333333"/>
          <w:spacing w:val="0"/>
          <w:sz w:val="32"/>
          <w:szCs w:val="32"/>
        </w:rPr>
        <w:t>。</w:t>
      </w:r>
    </w:p>
    <w:p w14:paraId="3458C8B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firstLine="659" w:firstLineChars="206"/>
        <w:jc w:val="left"/>
        <w:textAlignment w:val="auto"/>
        <w:rPr>
          <w:rFonts w:hint="eastAsia" w:ascii="微软雅黑" w:hAnsi="微软雅黑" w:eastAsia="微软雅黑" w:cs="微软雅黑"/>
          <w:i w:val="0"/>
          <w:iCs w:val="0"/>
          <w:caps w:val="0"/>
          <w:color w:val="333333"/>
          <w:spacing w:val="0"/>
          <w:sz w:val="32"/>
          <w:szCs w:val="32"/>
        </w:rPr>
      </w:pPr>
      <w:r>
        <w:rPr>
          <w:rFonts w:hint="eastAsia" w:ascii="楷体_GB2312" w:hAnsi="微软雅黑" w:eastAsia="楷体_GB2312" w:cs="楷体_GB2312"/>
          <w:i w:val="0"/>
          <w:iCs w:val="0"/>
          <w:caps w:val="0"/>
          <w:color w:val="333333"/>
          <w:spacing w:val="0"/>
          <w:sz w:val="32"/>
          <w:szCs w:val="32"/>
        </w:rPr>
        <w:t>（二）本行政机关落实上级年度政务公开工作要点情况</w:t>
      </w:r>
    </w:p>
    <w:p w14:paraId="6509CA1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firstLine="659" w:firstLineChars="206"/>
        <w:jc w:val="left"/>
        <w:textAlignment w:val="auto"/>
        <w:rPr>
          <w:rFonts w:hint="eastAsia" w:ascii="微软雅黑" w:hAnsi="微软雅黑" w:eastAsia="微软雅黑" w:cs="微软雅黑"/>
          <w:i w:val="0"/>
          <w:iCs w:val="0"/>
          <w:caps w:val="0"/>
          <w:color w:val="333333"/>
          <w:spacing w:val="0"/>
          <w:sz w:val="32"/>
          <w:szCs w:val="32"/>
        </w:rPr>
      </w:pPr>
      <w:r>
        <w:rPr>
          <w:rFonts w:hint="eastAsia" w:ascii="仿宋_GB2312" w:hAnsi="微软雅黑" w:eastAsia="仿宋_GB2312" w:cs="仿宋_GB2312"/>
          <w:i w:val="0"/>
          <w:iCs w:val="0"/>
          <w:caps w:val="0"/>
          <w:color w:val="333333"/>
          <w:spacing w:val="0"/>
          <w:sz w:val="32"/>
          <w:szCs w:val="32"/>
        </w:rPr>
        <w:t>根据《202</w:t>
      </w:r>
      <w:r>
        <w:rPr>
          <w:rFonts w:hint="eastAsia" w:ascii="仿宋_GB2312" w:hAnsi="微软雅黑" w:eastAsia="仿宋_GB2312" w:cs="仿宋_GB2312"/>
          <w:i w:val="0"/>
          <w:iCs w:val="0"/>
          <w:caps w:val="0"/>
          <w:color w:val="333333"/>
          <w:spacing w:val="0"/>
          <w:sz w:val="32"/>
          <w:szCs w:val="32"/>
          <w:lang w:val="en-US" w:eastAsia="zh-CN"/>
        </w:rPr>
        <w:t>4</w:t>
      </w:r>
      <w:r>
        <w:rPr>
          <w:rFonts w:hint="eastAsia" w:ascii="仿宋_GB2312" w:hAnsi="微软雅黑" w:eastAsia="仿宋_GB2312" w:cs="仿宋_GB2312"/>
          <w:i w:val="0"/>
          <w:iCs w:val="0"/>
          <w:caps w:val="0"/>
          <w:color w:val="333333"/>
          <w:spacing w:val="0"/>
          <w:sz w:val="32"/>
          <w:szCs w:val="32"/>
        </w:rPr>
        <w:t>年济南市政务公开工作要点》，</w:t>
      </w:r>
      <w:r>
        <w:rPr>
          <w:rFonts w:hint="eastAsia" w:ascii="仿宋_GB2312" w:hAnsi="微软雅黑" w:eastAsia="仿宋_GB2312" w:cs="仿宋_GB2312"/>
          <w:i w:val="0"/>
          <w:iCs w:val="0"/>
          <w:caps w:val="0"/>
          <w:color w:val="333333"/>
          <w:spacing w:val="0"/>
          <w:sz w:val="32"/>
          <w:szCs w:val="32"/>
          <w:lang w:val="en-US" w:eastAsia="zh-CN"/>
        </w:rPr>
        <w:t>6</w:t>
      </w:r>
      <w:r>
        <w:rPr>
          <w:rFonts w:hint="eastAsia" w:ascii="仿宋_GB2312" w:hAnsi="微软雅黑" w:eastAsia="仿宋_GB2312" w:cs="仿宋_GB2312"/>
          <w:i w:val="0"/>
          <w:iCs w:val="0"/>
          <w:caps w:val="0"/>
          <w:color w:val="333333"/>
          <w:spacing w:val="0"/>
          <w:sz w:val="32"/>
          <w:szCs w:val="32"/>
        </w:rPr>
        <w:t>月</w:t>
      </w:r>
      <w:r>
        <w:rPr>
          <w:rFonts w:hint="eastAsia" w:ascii="仿宋_GB2312" w:hAnsi="微软雅黑" w:eastAsia="仿宋_GB2312" w:cs="仿宋_GB2312"/>
          <w:i w:val="0"/>
          <w:iCs w:val="0"/>
          <w:caps w:val="0"/>
          <w:color w:val="333333"/>
          <w:spacing w:val="0"/>
          <w:sz w:val="32"/>
          <w:szCs w:val="32"/>
          <w:lang w:val="en-US" w:eastAsia="zh-CN"/>
        </w:rPr>
        <w:t>28</w:t>
      </w:r>
      <w:r>
        <w:rPr>
          <w:rFonts w:hint="eastAsia" w:ascii="仿宋_GB2312" w:hAnsi="微软雅黑" w:eastAsia="仿宋_GB2312" w:cs="仿宋_GB2312"/>
          <w:i w:val="0"/>
          <w:iCs w:val="0"/>
          <w:caps w:val="0"/>
          <w:color w:val="333333"/>
          <w:spacing w:val="0"/>
          <w:sz w:val="32"/>
          <w:szCs w:val="32"/>
        </w:rPr>
        <w:t>日，</w:t>
      </w:r>
      <w:r>
        <w:rPr>
          <w:rFonts w:hint="eastAsia" w:ascii="仿宋_GB2312" w:hAnsi="微软雅黑" w:eastAsia="仿宋_GB2312" w:cs="仿宋_GB2312"/>
          <w:i w:val="0"/>
          <w:iCs w:val="0"/>
          <w:caps w:val="0"/>
          <w:color w:val="333333"/>
          <w:spacing w:val="0"/>
          <w:sz w:val="32"/>
          <w:szCs w:val="32"/>
          <w:lang w:val="en-US" w:eastAsia="zh-CN"/>
        </w:rPr>
        <w:t>济南</w:t>
      </w:r>
      <w:r>
        <w:rPr>
          <w:rFonts w:hint="eastAsia" w:ascii="仿宋_GB2312" w:hAnsi="微软雅黑" w:eastAsia="仿宋_GB2312" w:cs="仿宋_GB2312"/>
          <w:i w:val="0"/>
          <w:iCs w:val="0"/>
          <w:caps w:val="0"/>
          <w:color w:val="333333"/>
          <w:spacing w:val="0"/>
          <w:sz w:val="32"/>
          <w:szCs w:val="32"/>
        </w:rPr>
        <w:t>市卫生健康委印发《202</w:t>
      </w:r>
      <w:r>
        <w:rPr>
          <w:rFonts w:hint="eastAsia" w:ascii="仿宋_GB2312" w:hAnsi="微软雅黑" w:eastAsia="仿宋_GB2312" w:cs="仿宋_GB2312"/>
          <w:i w:val="0"/>
          <w:iCs w:val="0"/>
          <w:caps w:val="0"/>
          <w:color w:val="333333"/>
          <w:spacing w:val="0"/>
          <w:sz w:val="32"/>
          <w:szCs w:val="32"/>
          <w:lang w:val="en-US" w:eastAsia="zh-CN"/>
        </w:rPr>
        <w:t>4</w:t>
      </w:r>
      <w:r>
        <w:rPr>
          <w:rFonts w:hint="eastAsia" w:ascii="仿宋_GB2312" w:hAnsi="微软雅黑" w:eastAsia="仿宋_GB2312" w:cs="仿宋_GB2312"/>
          <w:i w:val="0"/>
          <w:iCs w:val="0"/>
          <w:caps w:val="0"/>
          <w:color w:val="333333"/>
          <w:spacing w:val="0"/>
          <w:sz w:val="32"/>
          <w:szCs w:val="32"/>
        </w:rPr>
        <w:t>年卫生健康系统政务公开工作实施方案》</w:t>
      </w:r>
      <w:r>
        <w:rPr>
          <w:rFonts w:hint="eastAsia" w:ascii="仿宋_GB2312" w:hAnsi="微软雅黑" w:eastAsia="仿宋_GB2312" w:cs="仿宋_GB2312"/>
          <w:i w:val="0"/>
          <w:iCs w:val="0"/>
          <w:caps w:val="0"/>
          <w:color w:val="333333"/>
          <w:spacing w:val="0"/>
          <w:sz w:val="32"/>
          <w:szCs w:val="32"/>
          <w:lang w:val="en-US" w:eastAsia="zh-CN"/>
        </w:rPr>
        <w:t>，从</w:t>
      </w:r>
      <w:r>
        <w:rPr>
          <w:rFonts w:hint="eastAsia" w:ascii="仿宋_GB2312" w:hAnsi="微软雅黑" w:eastAsia="仿宋_GB2312" w:cs="仿宋_GB2312"/>
          <w:i w:val="0"/>
          <w:iCs w:val="0"/>
          <w:caps w:val="0"/>
          <w:color w:val="333333"/>
          <w:spacing w:val="0"/>
          <w:sz w:val="32"/>
          <w:szCs w:val="32"/>
        </w:rPr>
        <w:t>推动重点领域主动公开</w:t>
      </w:r>
      <w:r>
        <w:rPr>
          <w:rFonts w:hint="eastAsia" w:ascii="仿宋_GB2312" w:hAnsi="微软雅黑" w:eastAsia="仿宋_GB2312" w:cs="仿宋_GB2312"/>
          <w:i w:val="0"/>
          <w:iCs w:val="0"/>
          <w:caps w:val="0"/>
          <w:color w:val="333333"/>
          <w:spacing w:val="0"/>
          <w:sz w:val="32"/>
          <w:szCs w:val="32"/>
          <w:lang w:eastAsia="zh-CN"/>
        </w:rPr>
        <w:t>、</w:t>
      </w:r>
      <w:r>
        <w:rPr>
          <w:rFonts w:hint="eastAsia" w:ascii="仿宋_GB2312" w:hAnsi="微软雅黑" w:eastAsia="仿宋_GB2312" w:cs="仿宋_GB2312"/>
          <w:i w:val="0"/>
          <w:iCs w:val="0"/>
          <w:caps w:val="0"/>
          <w:color w:val="333333"/>
          <w:spacing w:val="0"/>
          <w:sz w:val="32"/>
          <w:szCs w:val="32"/>
        </w:rPr>
        <w:t>推进政策服务提质增效</w:t>
      </w:r>
      <w:r>
        <w:rPr>
          <w:rFonts w:hint="eastAsia" w:ascii="仿宋_GB2312" w:hAnsi="微软雅黑" w:eastAsia="仿宋_GB2312" w:cs="仿宋_GB2312"/>
          <w:i w:val="0"/>
          <w:iCs w:val="0"/>
          <w:caps w:val="0"/>
          <w:color w:val="333333"/>
          <w:spacing w:val="0"/>
          <w:sz w:val="32"/>
          <w:szCs w:val="32"/>
          <w:lang w:eastAsia="zh-CN"/>
        </w:rPr>
        <w:t>、</w:t>
      </w:r>
      <w:r>
        <w:rPr>
          <w:rFonts w:hint="eastAsia" w:ascii="仿宋_GB2312" w:hAnsi="微软雅黑" w:eastAsia="仿宋_GB2312" w:cs="仿宋_GB2312"/>
          <w:i w:val="0"/>
          <w:iCs w:val="0"/>
          <w:caps w:val="0"/>
          <w:color w:val="333333"/>
          <w:spacing w:val="0"/>
          <w:sz w:val="32"/>
          <w:szCs w:val="32"/>
        </w:rPr>
        <w:t>深化政民政企互动交流</w:t>
      </w:r>
      <w:r>
        <w:rPr>
          <w:rFonts w:hint="eastAsia" w:ascii="仿宋_GB2312" w:hAnsi="微软雅黑" w:eastAsia="仿宋_GB2312" w:cs="仿宋_GB2312"/>
          <w:i w:val="0"/>
          <w:iCs w:val="0"/>
          <w:caps w:val="0"/>
          <w:color w:val="333333"/>
          <w:spacing w:val="0"/>
          <w:sz w:val="32"/>
          <w:szCs w:val="32"/>
          <w:lang w:eastAsia="zh-CN"/>
        </w:rPr>
        <w:t>、</w:t>
      </w:r>
      <w:r>
        <w:rPr>
          <w:rFonts w:hint="eastAsia" w:ascii="仿宋_GB2312" w:hAnsi="微软雅黑" w:eastAsia="仿宋_GB2312" w:cs="仿宋_GB2312"/>
          <w:i w:val="0"/>
          <w:iCs w:val="0"/>
          <w:caps w:val="0"/>
          <w:color w:val="333333"/>
          <w:spacing w:val="0"/>
          <w:sz w:val="32"/>
          <w:szCs w:val="32"/>
        </w:rPr>
        <w:t>抓好依申请公开工作</w:t>
      </w:r>
      <w:r>
        <w:rPr>
          <w:rFonts w:hint="eastAsia" w:ascii="仿宋_GB2312" w:hAnsi="微软雅黑" w:eastAsia="仿宋_GB2312" w:cs="仿宋_GB2312"/>
          <w:i w:val="0"/>
          <w:iCs w:val="0"/>
          <w:caps w:val="0"/>
          <w:color w:val="333333"/>
          <w:spacing w:val="0"/>
          <w:sz w:val="32"/>
          <w:szCs w:val="32"/>
          <w:lang w:eastAsia="zh-CN"/>
        </w:rPr>
        <w:t>、</w:t>
      </w:r>
      <w:r>
        <w:rPr>
          <w:rFonts w:hint="eastAsia" w:ascii="仿宋_GB2312" w:hAnsi="微软雅黑" w:eastAsia="仿宋_GB2312" w:cs="仿宋_GB2312"/>
          <w:i w:val="0"/>
          <w:iCs w:val="0"/>
          <w:caps w:val="0"/>
          <w:color w:val="333333"/>
          <w:spacing w:val="0"/>
          <w:sz w:val="32"/>
          <w:szCs w:val="32"/>
        </w:rPr>
        <w:t>打造集约高效公开平台</w:t>
      </w:r>
      <w:r>
        <w:rPr>
          <w:rFonts w:hint="eastAsia" w:ascii="仿宋_GB2312" w:hAnsi="微软雅黑" w:eastAsia="仿宋_GB2312" w:cs="仿宋_GB2312"/>
          <w:i w:val="0"/>
          <w:iCs w:val="0"/>
          <w:caps w:val="0"/>
          <w:color w:val="333333"/>
          <w:spacing w:val="0"/>
          <w:sz w:val="32"/>
          <w:szCs w:val="32"/>
          <w:lang w:eastAsia="zh-CN"/>
        </w:rPr>
        <w:t>、</w:t>
      </w:r>
      <w:r>
        <w:rPr>
          <w:rFonts w:hint="eastAsia" w:ascii="仿宋_GB2312" w:hAnsi="微软雅黑" w:eastAsia="仿宋_GB2312" w:cs="仿宋_GB2312"/>
          <w:i w:val="0"/>
          <w:iCs w:val="0"/>
          <w:caps w:val="0"/>
          <w:color w:val="333333"/>
          <w:spacing w:val="0"/>
          <w:sz w:val="32"/>
          <w:szCs w:val="32"/>
        </w:rPr>
        <w:t>夯实政务公开工作基础</w:t>
      </w:r>
      <w:r>
        <w:rPr>
          <w:rFonts w:hint="eastAsia" w:ascii="仿宋_GB2312" w:hAnsi="微软雅黑" w:eastAsia="仿宋_GB2312" w:cs="仿宋_GB2312"/>
          <w:i w:val="0"/>
          <w:iCs w:val="0"/>
          <w:caps w:val="0"/>
          <w:color w:val="333333"/>
          <w:spacing w:val="0"/>
          <w:sz w:val="32"/>
          <w:szCs w:val="32"/>
          <w:lang w:val="en-US" w:eastAsia="zh-CN"/>
        </w:rPr>
        <w:t>6个方面，制定了15项具体工作措施，着重在</w:t>
      </w:r>
      <w:r>
        <w:rPr>
          <w:rFonts w:hint="eastAsia" w:ascii="仿宋_GB2312" w:hAnsi="微软雅黑" w:eastAsia="仿宋_GB2312" w:cs="仿宋_GB2312"/>
          <w:i w:val="0"/>
          <w:iCs w:val="0"/>
          <w:caps w:val="0"/>
          <w:color w:val="333333"/>
          <w:spacing w:val="0"/>
          <w:sz w:val="32"/>
          <w:szCs w:val="32"/>
        </w:rPr>
        <w:t>重点建设项目、深化医药卫生体制改革、医疗卫生服务能力提升、中医药创新发展、传染病防控监测</w:t>
      </w:r>
      <w:r>
        <w:rPr>
          <w:rFonts w:hint="eastAsia" w:ascii="仿宋_GB2312" w:hAnsi="微软雅黑" w:eastAsia="仿宋_GB2312" w:cs="仿宋_GB2312"/>
          <w:i w:val="0"/>
          <w:iCs w:val="0"/>
          <w:caps w:val="0"/>
          <w:color w:val="333333"/>
          <w:spacing w:val="0"/>
          <w:sz w:val="32"/>
          <w:szCs w:val="32"/>
          <w:lang w:eastAsia="zh-CN"/>
        </w:rPr>
        <w:t>、重点人群保障、</w:t>
      </w:r>
      <w:r>
        <w:rPr>
          <w:rFonts w:hint="eastAsia" w:ascii="仿宋_GB2312" w:hAnsi="微软雅黑" w:eastAsia="仿宋_GB2312" w:cs="仿宋_GB2312"/>
          <w:i w:val="0"/>
          <w:iCs w:val="0"/>
          <w:caps w:val="0"/>
          <w:color w:val="333333"/>
          <w:spacing w:val="0"/>
          <w:sz w:val="32"/>
          <w:szCs w:val="32"/>
        </w:rPr>
        <w:t>行政执法信息公开</w:t>
      </w:r>
      <w:r>
        <w:rPr>
          <w:rFonts w:hint="eastAsia" w:ascii="仿宋_GB2312" w:hAnsi="微软雅黑" w:eastAsia="仿宋_GB2312" w:cs="仿宋_GB2312"/>
          <w:i w:val="0"/>
          <w:iCs w:val="0"/>
          <w:caps w:val="0"/>
          <w:color w:val="333333"/>
          <w:spacing w:val="0"/>
          <w:sz w:val="32"/>
          <w:szCs w:val="32"/>
          <w:lang w:eastAsia="zh-CN"/>
        </w:rPr>
        <w:t>、政策解读质量、依申请公开质效等方面，强化工作措施，</w:t>
      </w:r>
      <w:r>
        <w:rPr>
          <w:rFonts w:hint="eastAsia" w:ascii="仿宋_GB2312" w:hAnsi="微软雅黑" w:eastAsia="仿宋_GB2312" w:cs="仿宋_GB2312"/>
          <w:i w:val="0"/>
          <w:iCs w:val="0"/>
          <w:caps w:val="0"/>
          <w:color w:val="333333"/>
          <w:spacing w:val="0"/>
          <w:sz w:val="32"/>
          <w:szCs w:val="32"/>
        </w:rPr>
        <w:t>明确责任分工，</w:t>
      </w:r>
      <w:r>
        <w:rPr>
          <w:rFonts w:hint="eastAsia" w:ascii="仿宋_GB2312" w:hAnsi="微软雅黑" w:eastAsia="仿宋_GB2312" w:cs="仿宋_GB2312"/>
          <w:i w:val="0"/>
          <w:iCs w:val="0"/>
          <w:caps w:val="0"/>
          <w:color w:val="333333"/>
          <w:spacing w:val="0"/>
          <w:sz w:val="32"/>
          <w:szCs w:val="32"/>
          <w:lang w:val="en-US" w:eastAsia="zh-CN"/>
        </w:rPr>
        <w:t>确保上级工作要求在卫生健康系统的落地落实</w:t>
      </w:r>
      <w:r>
        <w:rPr>
          <w:rFonts w:hint="eastAsia" w:ascii="仿宋_GB2312" w:hAnsi="微软雅黑" w:eastAsia="仿宋_GB2312" w:cs="仿宋_GB2312"/>
          <w:i w:val="0"/>
          <w:iCs w:val="0"/>
          <w:caps w:val="0"/>
          <w:color w:val="333333"/>
          <w:spacing w:val="0"/>
          <w:sz w:val="32"/>
          <w:szCs w:val="32"/>
        </w:rPr>
        <w:t>。</w:t>
      </w:r>
    </w:p>
    <w:p w14:paraId="7FF73921">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jc w:val="center"/>
        <w:rPr>
          <w:rFonts w:hint="eastAsia" w:ascii="微软雅黑" w:hAnsi="微软雅黑" w:eastAsia="微软雅黑" w:cs="微软雅黑"/>
          <w:i w:val="0"/>
          <w:iCs w:val="0"/>
          <w:caps w:val="0"/>
          <w:color w:val="333333"/>
          <w:spacing w:val="0"/>
          <w:sz w:val="14"/>
          <w:szCs w:val="14"/>
        </w:rPr>
      </w:pPr>
      <w:r>
        <w:rPr>
          <w:rFonts w:hint="eastAsia" w:ascii="微软雅黑" w:hAnsi="微软雅黑" w:eastAsia="微软雅黑" w:cs="微软雅黑"/>
          <w:i w:val="0"/>
          <w:iCs w:val="0"/>
          <w:caps w:val="0"/>
          <w:color w:val="333333"/>
          <w:spacing w:val="0"/>
          <w:sz w:val="14"/>
          <w:szCs w:val="14"/>
        </w:rPr>
        <w:drawing>
          <wp:inline distT="0" distB="0" distL="114300" distR="114300">
            <wp:extent cx="5678805" cy="3867150"/>
            <wp:effectExtent l="0" t="0" r="10795" b="635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9"/>
                    <a:stretch>
                      <a:fillRect/>
                    </a:stretch>
                  </pic:blipFill>
                  <pic:spPr>
                    <a:xfrm>
                      <a:off x="0" y="0"/>
                      <a:ext cx="5678805" cy="3867150"/>
                    </a:xfrm>
                    <a:prstGeom prst="rect">
                      <a:avLst/>
                    </a:prstGeom>
                    <a:noFill/>
                    <a:ln w="9525">
                      <a:noFill/>
                    </a:ln>
                  </pic:spPr>
                </pic:pic>
              </a:graphicData>
            </a:graphic>
          </wp:inline>
        </w:drawing>
      </w:r>
    </w:p>
    <w:p w14:paraId="16D5E58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firstLine="700" w:firstLineChars="0"/>
        <w:jc w:val="left"/>
        <w:textAlignment w:val="auto"/>
        <w:rPr>
          <w:rFonts w:hint="eastAsia" w:ascii="微软雅黑" w:hAnsi="微软雅黑" w:eastAsia="微软雅黑" w:cs="微软雅黑"/>
          <w:i w:val="0"/>
          <w:iCs w:val="0"/>
          <w:caps w:val="0"/>
          <w:color w:val="333333"/>
          <w:spacing w:val="0"/>
          <w:sz w:val="32"/>
          <w:szCs w:val="32"/>
        </w:rPr>
      </w:pPr>
      <w:r>
        <w:rPr>
          <w:rFonts w:hint="eastAsia" w:ascii="楷体_GB2312" w:hAnsi="微软雅黑" w:eastAsia="楷体_GB2312" w:cs="楷体_GB2312"/>
          <w:i w:val="0"/>
          <w:iCs w:val="0"/>
          <w:caps w:val="0"/>
          <w:color w:val="333333"/>
          <w:spacing w:val="0"/>
          <w:sz w:val="32"/>
          <w:szCs w:val="32"/>
        </w:rPr>
        <w:t>（三）人大代表建议和政协提案办理结果情况</w:t>
      </w:r>
    </w:p>
    <w:p w14:paraId="2067300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firstLine="700" w:firstLineChars="0"/>
        <w:jc w:val="left"/>
        <w:textAlignment w:val="auto"/>
        <w:rPr>
          <w:rFonts w:hint="eastAsia" w:ascii="仿宋_GB2312" w:hAnsi="微软雅黑" w:eastAsia="仿宋_GB2312" w:cs="仿宋_GB2312"/>
          <w:i w:val="0"/>
          <w:iCs w:val="0"/>
          <w:caps w:val="0"/>
          <w:color w:val="333333"/>
          <w:spacing w:val="0"/>
          <w:sz w:val="32"/>
          <w:szCs w:val="32"/>
        </w:rPr>
      </w:pPr>
      <w:r>
        <w:rPr>
          <w:rFonts w:hint="eastAsia" w:ascii="仿宋_GB2312" w:hAnsi="微软雅黑" w:eastAsia="仿宋_GB2312" w:cs="仿宋_GB2312"/>
          <w:i w:val="0"/>
          <w:iCs w:val="0"/>
          <w:caps w:val="0"/>
          <w:color w:val="333333"/>
          <w:spacing w:val="0"/>
          <w:sz w:val="32"/>
          <w:szCs w:val="32"/>
        </w:rPr>
        <w:t>2024年，</w:t>
      </w:r>
      <w:r>
        <w:rPr>
          <w:rFonts w:hint="eastAsia" w:ascii="仿宋_GB2312" w:hAnsi="微软雅黑" w:eastAsia="仿宋_GB2312" w:cs="仿宋_GB2312"/>
          <w:i w:val="0"/>
          <w:iCs w:val="0"/>
          <w:caps w:val="0"/>
          <w:color w:val="333333"/>
          <w:spacing w:val="0"/>
          <w:sz w:val="32"/>
          <w:szCs w:val="32"/>
          <w:lang w:val="en-US" w:eastAsia="zh-CN"/>
        </w:rPr>
        <w:t>济南市卫生健康</w:t>
      </w:r>
      <w:r>
        <w:rPr>
          <w:rFonts w:hint="eastAsia" w:ascii="仿宋_GB2312" w:hAnsi="微软雅黑" w:eastAsia="仿宋_GB2312" w:cs="仿宋_GB2312"/>
          <w:i w:val="0"/>
          <w:iCs w:val="0"/>
          <w:caps w:val="0"/>
          <w:color w:val="333333"/>
          <w:spacing w:val="0"/>
          <w:sz w:val="32"/>
          <w:szCs w:val="32"/>
        </w:rPr>
        <w:t>委共收到市人大代表建议36件（主/独办18件、分办9件、会办9件）、市政协提案78件（主/独办34件，分办16件，会办25件，参考3件），内容主要涉及医疗管理、基层卫生、医养健康产业、托育、中医药发展等方面。按照要求，所有建议提案均在要求时限内完成，并进行了答复，除4件市政协提案（答复内容涉密）和34件会办（会办件由主办单位负责公开）、3件参考外，其他建议提案答复均在</w:t>
      </w:r>
      <w:r>
        <w:rPr>
          <w:rFonts w:hint="eastAsia" w:ascii="仿宋_GB2312" w:hAnsi="微软雅黑" w:eastAsia="仿宋_GB2312" w:cs="仿宋_GB2312"/>
          <w:i w:val="0"/>
          <w:iCs w:val="0"/>
          <w:caps w:val="0"/>
          <w:color w:val="333333"/>
          <w:spacing w:val="0"/>
          <w:sz w:val="32"/>
          <w:szCs w:val="32"/>
          <w:lang w:val="en-US" w:eastAsia="zh-CN"/>
        </w:rPr>
        <w:t>委</w:t>
      </w:r>
      <w:r>
        <w:rPr>
          <w:rFonts w:hint="eastAsia" w:ascii="仿宋_GB2312" w:hAnsi="微软雅黑" w:eastAsia="仿宋_GB2312" w:cs="仿宋_GB2312"/>
          <w:i w:val="0"/>
          <w:iCs w:val="0"/>
          <w:caps w:val="0"/>
          <w:color w:val="333333"/>
          <w:spacing w:val="0"/>
          <w:sz w:val="32"/>
          <w:szCs w:val="32"/>
        </w:rPr>
        <w:t>网站进行了公开。从建议提案的落实情况来看（会办的建议提案不列入落实情况统计），列为A类（已落实）的74件，列为B类（正在推进）的2件，列为C类（无法解决或暂时无法解决）的2件。</w:t>
      </w:r>
    </w:p>
    <w:p w14:paraId="5359C8C2">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0" w:lineRule="atLeast"/>
        <w:ind w:left="0" w:leftChars="0" w:right="0" w:firstLine="0" w:firstLineChars="0"/>
        <w:jc w:val="left"/>
        <w:rPr>
          <w:rFonts w:hint="eastAsia" w:ascii="仿宋_GB2312" w:hAnsi="微软雅黑" w:eastAsia="仿宋_GB2312" w:cs="仿宋_GB2312"/>
          <w:i w:val="0"/>
          <w:iCs w:val="0"/>
          <w:caps w:val="0"/>
          <w:color w:val="333333"/>
          <w:spacing w:val="0"/>
          <w:sz w:val="32"/>
          <w:szCs w:val="32"/>
        </w:rPr>
      </w:pPr>
      <w:r>
        <w:drawing>
          <wp:inline distT="0" distB="0" distL="114300" distR="114300">
            <wp:extent cx="5610225" cy="5287010"/>
            <wp:effectExtent l="0" t="0" r="9525" b="889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0"/>
                    <a:stretch>
                      <a:fillRect/>
                    </a:stretch>
                  </pic:blipFill>
                  <pic:spPr>
                    <a:xfrm>
                      <a:off x="0" y="0"/>
                      <a:ext cx="5610225" cy="5287010"/>
                    </a:xfrm>
                    <a:prstGeom prst="rect">
                      <a:avLst/>
                    </a:prstGeom>
                    <a:noFill/>
                    <a:ln>
                      <a:noFill/>
                    </a:ln>
                  </pic:spPr>
                </pic:pic>
              </a:graphicData>
            </a:graphic>
          </wp:inline>
        </w:drawing>
      </w:r>
    </w:p>
    <w:p w14:paraId="1A865FA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firstLine="640" w:firstLineChars="0"/>
        <w:jc w:val="left"/>
        <w:textAlignment w:val="auto"/>
        <w:rPr>
          <w:rFonts w:hint="eastAsia" w:ascii="微软雅黑" w:hAnsi="微软雅黑" w:eastAsia="微软雅黑" w:cs="微软雅黑"/>
          <w:i w:val="0"/>
          <w:iCs w:val="0"/>
          <w:caps w:val="0"/>
          <w:color w:val="333333"/>
          <w:spacing w:val="0"/>
          <w:sz w:val="32"/>
          <w:szCs w:val="32"/>
        </w:rPr>
      </w:pPr>
      <w:r>
        <w:rPr>
          <w:rFonts w:hint="eastAsia" w:ascii="楷体_GB2312" w:hAnsi="微软雅黑" w:eastAsia="楷体_GB2312" w:cs="楷体_GB2312"/>
          <w:i w:val="0"/>
          <w:iCs w:val="0"/>
          <w:caps w:val="0"/>
          <w:color w:val="333333"/>
          <w:spacing w:val="0"/>
          <w:sz w:val="32"/>
          <w:szCs w:val="32"/>
        </w:rPr>
        <w:t>（四）本行政机关年度政务公开工作创新情况</w:t>
      </w:r>
    </w:p>
    <w:p w14:paraId="2E7A56E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firstLine="640" w:firstLineChars="0"/>
        <w:jc w:val="left"/>
        <w:textAlignment w:val="auto"/>
        <w:rPr>
          <w:rFonts w:hint="eastAsia" w:ascii="仿宋_GB2312" w:hAnsi="微软雅黑" w:eastAsia="仿宋_GB2312" w:cs="仿宋_GB2312"/>
          <w:i w:val="0"/>
          <w:iCs w:val="0"/>
          <w:caps w:val="0"/>
          <w:color w:val="333333"/>
          <w:spacing w:val="0"/>
          <w:sz w:val="32"/>
          <w:szCs w:val="32"/>
          <w:lang w:val="en-US" w:eastAsia="zh-CN"/>
        </w:rPr>
      </w:pPr>
      <w:r>
        <w:rPr>
          <w:rFonts w:hint="eastAsia" w:ascii="仿宋_GB2312" w:hAnsi="微软雅黑" w:eastAsia="仿宋_GB2312" w:cs="仿宋_GB2312"/>
          <w:i w:val="0"/>
          <w:iCs w:val="0"/>
          <w:caps w:val="0"/>
          <w:color w:val="333333"/>
          <w:spacing w:val="0"/>
          <w:sz w:val="32"/>
          <w:szCs w:val="32"/>
        </w:rPr>
        <w:t>委网站开设“</w:t>
      </w:r>
      <w:r>
        <w:rPr>
          <w:rFonts w:hint="eastAsia" w:ascii="仿宋_GB2312" w:hAnsi="微软雅黑" w:eastAsia="仿宋_GB2312" w:cs="仿宋_GB2312"/>
          <w:i w:val="0"/>
          <w:iCs w:val="0"/>
          <w:caps w:val="0"/>
          <w:color w:val="333333"/>
          <w:spacing w:val="0"/>
          <w:sz w:val="32"/>
          <w:szCs w:val="32"/>
          <w:lang w:val="en-US" w:eastAsia="zh-CN"/>
        </w:rPr>
        <w:fldChar w:fldCharType="begin"/>
      </w:r>
      <w:r>
        <w:rPr>
          <w:rFonts w:hint="eastAsia" w:ascii="仿宋_GB2312" w:hAnsi="微软雅黑" w:eastAsia="仿宋_GB2312" w:cs="仿宋_GB2312"/>
          <w:i w:val="0"/>
          <w:iCs w:val="0"/>
          <w:caps w:val="0"/>
          <w:color w:val="333333"/>
          <w:spacing w:val="0"/>
          <w:sz w:val="32"/>
          <w:szCs w:val="32"/>
          <w:lang w:val="en-US" w:eastAsia="zh-CN"/>
        </w:rPr>
        <w:instrText xml:space="preserve"> HYPERLINK "http://jnmhc.jinan.gov.cn/col/col122563/index.html" </w:instrText>
      </w:r>
      <w:r>
        <w:rPr>
          <w:rFonts w:hint="eastAsia" w:ascii="仿宋_GB2312" w:hAnsi="微软雅黑" w:eastAsia="仿宋_GB2312" w:cs="仿宋_GB2312"/>
          <w:i w:val="0"/>
          <w:iCs w:val="0"/>
          <w:caps w:val="0"/>
          <w:color w:val="333333"/>
          <w:spacing w:val="0"/>
          <w:sz w:val="32"/>
          <w:szCs w:val="32"/>
          <w:lang w:val="en-US" w:eastAsia="zh-CN"/>
        </w:rPr>
        <w:fldChar w:fldCharType="separate"/>
      </w:r>
      <w:r>
        <w:rPr>
          <w:rFonts w:hint="eastAsia" w:ascii="仿宋_GB2312" w:hAnsi="微软雅黑" w:eastAsia="仿宋_GB2312" w:cs="仿宋_GB2312"/>
          <w:i w:val="0"/>
          <w:iCs w:val="0"/>
          <w:caps w:val="0"/>
          <w:color w:val="333333"/>
          <w:spacing w:val="0"/>
          <w:sz w:val="32"/>
          <w:szCs w:val="32"/>
        </w:rPr>
        <w:t>全市乡村医生综合能力全覆盖培训</w:t>
      </w:r>
      <w:r>
        <w:rPr>
          <w:rFonts w:hint="eastAsia" w:ascii="仿宋_GB2312" w:hAnsi="微软雅黑" w:eastAsia="仿宋_GB2312" w:cs="仿宋_GB2312"/>
          <w:i w:val="0"/>
          <w:iCs w:val="0"/>
          <w:caps w:val="0"/>
          <w:color w:val="333333"/>
          <w:spacing w:val="0"/>
          <w:sz w:val="32"/>
          <w:szCs w:val="32"/>
          <w:lang w:val="en-US" w:eastAsia="zh-CN"/>
        </w:rPr>
        <w:fldChar w:fldCharType="end"/>
      </w:r>
      <w:r>
        <w:rPr>
          <w:rFonts w:hint="eastAsia" w:ascii="仿宋_GB2312" w:hAnsi="微软雅黑" w:eastAsia="仿宋_GB2312" w:cs="仿宋_GB2312"/>
          <w:i w:val="0"/>
          <w:iCs w:val="0"/>
          <w:caps w:val="0"/>
          <w:color w:val="333333"/>
          <w:spacing w:val="0"/>
          <w:sz w:val="32"/>
          <w:szCs w:val="32"/>
        </w:rPr>
        <w:t>”“</w:t>
      </w:r>
      <w:r>
        <w:rPr>
          <w:rFonts w:hint="eastAsia" w:ascii="仿宋_GB2312" w:hAnsi="微软雅黑" w:eastAsia="仿宋_GB2312" w:cs="仿宋_GB2312"/>
          <w:i w:val="0"/>
          <w:iCs w:val="0"/>
          <w:caps w:val="0"/>
          <w:color w:val="333333"/>
          <w:spacing w:val="0"/>
          <w:sz w:val="32"/>
          <w:szCs w:val="32"/>
          <w:lang w:val="en-US" w:eastAsia="zh-CN"/>
        </w:rPr>
        <w:fldChar w:fldCharType="begin"/>
      </w:r>
      <w:r>
        <w:rPr>
          <w:rFonts w:hint="eastAsia" w:ascii="仿宋_GB2312" w:hAnsi="微软雅黑" w:eastAsia="仿宋_GB2312" w:cs="仿宋_GB2312"/>
          <w:i w:val="0"/>
          <w:iCs w:val="0"/>
          <w:caps w:val="0"/>
          <w:color w:val="333333"/>
          <w:spacing w:val="0"/>
          <w:sz w:val="32"/>
          <w:szCs w:val="32"/>
          <w:lang w:val="en-US" w:eastAsia="zh-CN"/>
        </w:rPr>
        <w:instrText xml:space="preserve"> HYPERLINK "http://jnmhc.jinan.gov.cn/col/col122555/index.html" </w:instrText>
      </w:r>
      <w:r>
        <w:rPr>
          <w:rFonts w:hint="eastAsia" w:ascii="仿宋_GB2312" w:hAnsi="微软雅黑" w:eastAsia="仿宋_GB2312" w:cs="仿宋_GB2312"/>
          <w:i w:val="0"/>
          <w:iCs w:val="0"/>
          <w:caps w:val="0"/>
          <w:color w:val="333333"/>
          <w:spacing w:val="0"/>
          <w:sz w:val="32"/>
          <w:szCs w:val="32"/>
          <w:lang w:val="en-US" w:eastAsia="zh-CN"/>
        </w:rPr>
        <w:fldChar w:fldCharType="separate"/>
      </w:r>
      <w:r>
        <w:rPr>
          <w:rFonts w:hint="eastAsia" w:ascii="仿宋_GB2312" w:hAnsi="微软雅黑" w:eastAsia="仿宋_GB2312" w:cs="仿宋_GB2312"/>
          <w:i w:val="0"/>
          <w:iCs w:val="0"/>
          <w:caps w:val="0"/>
          <w:color w:val="333333"/>
          <w:spacing w:val="0"/>
          <w:sz w:val="32"/>
          <w:szCs w:val="32"/>
        </w:rPr>
        <w:t>医工杯“健康守护者 最美医‘瞬’间”2024职工摄影大赛展</w:t>
      </w:r>
      <w:r>
        <w:rPr>
          <w:rFonts w:hint="eastAsia" w:ascii="仿宋_GB2312" w:hAnsi="微软雅黑" w:eastAsia="仿宋_GB2312" w:cs="仿宋_GB2312"/>
          <w:i w:val="0"/>
          <w:iCs w:val="0"/>
          <w:caps w:val="0"/>
          <w:color w:val="333333"/>
          <w:spacing w:val="0"/>
          <w:sz w:val="32"/>
          <w:szCs w:val="32"/>
          <w:lang w:val="en-US" w:eastAsia="zh-CN"/>
        </w:rPr>
        <w:fldChar w:fldCharType="end"/>
      </w:r>
      <w:r>
        <w:rPr>
          <w:rFonts w:hint="eastAsia" w:ascii="仿宋_GB2312" w:hAnsi="微软雅黑" w:eastAsia="仿宋_GB2312" w:cs="仿宋_GB2312"/>
          <w:i w:val="0"/>
          <w:iCs w:val="0"/>
          <w:caps w:val="0"/>
          <w:color w:val="333333"/>
          <w:spacing w:val="0"/>
          <w:sz w:val="32"/>
          <w:szCs w:val="32"/>
          <w:lang w:val="en-US" w:eastAsia="zh-CN"/>
        </w:rPr>
        <w:t>”等</w:t>
      </w:r>
      <w:r>
        <w:rPr>
          <w:rFonts w:hint="eastAsia" w:ascii="仿宋_GB2312" w:hAnsi="微软雅黑" w:eastAsia="仿宋_GB2312" w:cs="仿宋_GB2312"/>
          <w:i w:val="0"/>
          <w:iCs w:val="0"/>
          <w:caps w:val="0"/>
          <w:color w:val="333333"/>
          <w:spacing w:val="0"/>
          <w:sz w:val="32"/>
          <w:szCs w:val="32"/>
        </w:rPr>
        <w:t>专栏，</w:t>
      </w:r>
      <w:r>
        <w:rPr>
          <w:rFonts w:hint="eastAsia" w:ascii="仿宋_GB2312" w:hAnsi="微软雅黑" w:eastAsia="仿宋_GB2312" w:cs="仿宋_GB2312"/>
          <w:i w:val="0"/>
          <w:iCs w:val="0"/>
          <w:caps w:val="0"/>
          <w:color w:val="333333"/>
          <w:spacing w:val="0"/>
          <w:sz w:val="32"/>
          <w:szCs w:val="32"/>
          <w:lang w:val="en-US" w:eastAsia="zh-CN"/>
        </w:rPr>
        <w:t>通过发布相关专家的课件，加强对全市乡村医生的培训，有力提升了乡村医生的业务能力和服务患者的水平</w:t>
      </w:r>
      <w:r>
        <w:rPr>
          <w:rFonts w:hint="eastAsia" w:ascii="仿宋_GB2312" w:hAnsi="微软雅黑" w:eastAsia="仿宋_GB2312" w:cs="仿宋_GB2312"/>
          <w:i w:val="0"/>
          <w:iCs w:val="0"/>
          <w:caps w:val="0"/>
          <w:color w:val="333333"/>
          <w:spacing w:val="0"/>
          <w:sz w:val="32"/>
          <w:szCs w:val="32"/>
        </w:rPr>
        <w:t>；</w:t>
      </w:r>
      <w:r>
        <w:rPr>
          <w:rFonts w:hint="eastAsia" w:ascii="仿宋_GB2312" w:hAnsi="微软雅黑" w:eastAsia="仿宋_GB2312" w:cs="仿宋_GB2312"/>
          <w:i w:val="0"/>
          <w:iCs w:val="0"/>
          <w:caps w:val="0"/>
          <w:color w:val="333333"/>
          <w:spacing w:val="0"/>
          <w:sz w:val="32"/>
          <w:szCs w:val="32"/>
          <w:lang w:val="en-US" w:eastAsia="zh-CN"/>
        </w:rPr>
        <w:t>用医护工作者工作的精彩图片，展现健康守护者的最美瞬间。</w:t>
      </w:r>
      <w:r>
        <w:rPr>
          <w:rFonts w:hint="eastAsia" w:ascii="仿宋_GB2312" w:hAnsi="微软雅黑" w:eastAsia="仿宋_GB2312" w:cs="仿宋_GB2312"/>
          <w:i w:val="0"/>
          <w:iCs w:val="0"/>
          <w:caps w:val="0"/>
          <w:color w:val="333333"/>
          <w:spacing w:val="0"/>
          <w:sz w:val="32"/>
          <w:szCs w:val="32"/>
        </w:rPr>
        <w:t>政务新媒体“济南卫生健康”微信公众号</w:t>
      </w:r>
      <w:r>
        <w:rPr>
          <w:rFonts w:hint="eastAsia" w:ascii="仿宋_GB2312" w:hAnsi="微软雅黑" w:eastAsia="仿宋_GB2312" w:cs="仿宋_GB2312"/>
          <w:i w:val="0"/>
          <w:iCs w:val="0"/>
          <w:caps w:val="0"/>
          <w:color w:val="333333"/>
          <w:spacing w:val="0"/>
          <w:sz w:val="32"/>
          <w:szCs w:val="32"/>
          <w:lang w:val="en-US" w:eastAsia="zh-CN"/>
        </w:rPr>
        <w:t>推出“泉医”专栏，近距离展示泉城名医风采，获评全市优秀政务新媒体。</w:t>
      </w:r>
    </w:p>
    <w:p w14:paraId="1887B149">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0" w:lineRule="atLeast"/>
        <w:ind w:left="0" w:leftChars="0" w:right="0" w:firstLine="0" w:firstLineChars="0"/>
        <w:jc w:val="left"/>
        <w:rPr>
          <w:rFonts w:hint="eastAsia" w:ascii="仿宋_GB2312" w:hAnsi="微软雅黑" w:eastAsia="仿宋_GB2312" w:cs="仿宋_GB2312"/>
          <w:i w:val="0"/>
          <w:iCs w:val="0"/>
          <w:caps w:val="0"/>
          <w:color w:val="333333"/>
          <w:spacing w:val="0"/>
          <w:sz w:val="32"/>
          <w:szCs w:val="32"/>
          <w:lang w:val="en-US" w:eastAsia="zh-CN"/>
        </w:rPr>
      </w:pPr>
      <w:r>
        <w:drawing>
          <wp:inline distT="0" distB="0" distL="114300" distR="114300">
            <wp:extent cx="5492750" cy="5681980"/>
            <wp:effectExtent l="0" t="0" r="12700" b="1397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1"/>
                    <a:stretch>
                      <a:fillRect/>
                    </a:stretch>
                  </pic:blipFill>
                  <pic:spPr>
                    <a:xfrm>
                      <a:off x="0" y="0"/>
                      <a:ext cx="5492750" cy="5681980"/>
                    </a:xfrm>
                    <a:prstGeom prst="rect">
                      <a:avLst/>
                    </a:prstGeom>
                    <a:noFill/>
                    <a:ln>
                      <a:noFill/>
                    </a:ln>
                  </pic:spPr>
                </pic:pic>
              </a:graphicData>
            </a:graphic>
          </wp:inline>
        </w:drawing>
      </w:r>
    </w:p>
    <w:p w14:paraId="6A58B515">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jc w:val="center"/>
        <w:rPr>
          <w:rFonts w:hint="eastAsia" w:ascii="微软雅黑" w:hAnsi="微软雅黑" w:eastAsia="微软雅黑" w:cs="微软雅黑"/>
          <w:i w:val="0"/>
          <w:iCs w:val="0"/>
          <w:caps w:val="0"/>
          <w:color w:val="333333"/>
          <w:spacing w:val="0"/>
          <w:sz w:val="14"/>
          <w:szCs w:val="14"/>
        </w:rPr>
      </w:pPr>
    </w:p>
    <w:p w14:paraId="4CCF2AE6">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jc w:val="center"/>
        <w:rPr>
          <w:rFonts w:hint="eastAsia" w:ascii="微软雅黑" w:hAnsi="微软雅黑" w:eastAsia="微软雅黑" w:cs="微软雅黑"/>
          <w:i w:val="0"/>
          <w:iCs w:val="0"/>
          <w:caps w:val="0"/>
          <w:color w:val="333333"/>
          <w:spacing w:val="0"/>
          <w:sz w:val="14"/>
          <w:szCs w:val="14"/>
        </w:rPr>
      </w:pPr>
    </w:p>
    <w:p w14:paraId="3A7DC9AF">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jc w:val="center"/>
        <w:rPr>
          <w:rFonts w:hint="eastAsia" w:ascii="微软雅黑" w:hAnsi="微软雅黑" w:eastAsia="微软雅黑" w:cs="微软雅黑"/>
          <w:i w:val="0"/>
          <w:iCs w:val="0"/>
          <w:caps w:val="0"/>
          <w:color w:val="333333"/>
          <w:spacing w:val="0"/>
          <w:sz w:val="14"/>
          <w:szCs w:val="14"/>
        </w:rPr>
      </w:pPr>
      <w:r>
        <w:drawing>
          <wp:inline distT="0" distB="0" distL="114300" distR="114300">
            <wp:extent cx="5492750" cy="3390900"/>
            <wp:effectExtent l="0" t="0" r="1270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2"/>
                    <a:stretch>
                      <a:fillRect/>
                    </a:stretch>
                  </pic:blipFill>
                  <pic:spPr>
                    <a:xfrm>
                      <a:off x="0" y="0"/>
                      <a:ext cx="5492750" cy="3390900"/>
                    </a:xfrm>
                    <a:prstGeom prst="rect">
                      <a:avLst/>
                    </a:prstGeom>
                    <a:noFill/>
                    <a:ln>
                      <a:noFill/>
                    </a:ln>
                  </pic:spPr>
                </pic:pic>
              </a:graphicData>
            </a:graphic>
          </wp:inline>
        </w:drawing>
      </w:r>
    </w:p>
    <w:p w14:paraId="7F2B6F9F">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jc w:val="center"/>
        <w:rPr>
          <w:rFonts w:hint="eastAsia" w:ascii="微软雅黑" w:hAnsi="微软雅黑" w:eastAsia="微软雅黑" w:cs="微软雅黑"/>
          <w:i w:val="0"/>
          <w:iCs w:val="0"/>
          <w:caps w:val="0"/>
          <w:color w:val="333333"/>
          <w:spacing w:val="0"/>
          <w:sz w:val="14"/>
          <w:szCs w:val="14"/>
        </w:rPr>
      </w:pPr>
    </w:p>
    <w:p w14:paraId="670F6369">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0"/>
        <w:jc w:val="center"/>
        <w:rPr>
          <w:rFonts w:hint="eastAsia" w:ascii="微软雅黑" w:hAnsi="微软雅黑" w:eastAsia="微软雅黑" w:cs="微软雅黑"/>
          <w:i w:val="0"/>
          <w:iCs w:val="0"/>
          <w:caps w:val="0"/>
          <w:color w:val="333333"/>
          <w:spacing w:val="0"/>
          <w:sz w:val="14"/>
          <w:szCs w:val="14"/>
          <w:lang w:eastAsia="zh-CN"/>
        </w:rPr>
      </w:pPr>
      <w:r>
        <w:rPr>
          <w:rFonts w:hint="eastAsia" w:ascii="微软雅黑" w:hAnsi="微软雅黑" w:eastAsia="微软雅黑" w:cs="微软雅黑"/>
          <w:i w:val="0"/>
          <w:iCs w:val="0"/>
          <w:caps w:val="0"/>
          <w:color w:val="333333"/>
          <w:spacing w:val="0"/>
          <w:sz w:val="14"/>
          <w:szCs w:val="14"/>
          <w:lang w:eastAsia="zh-CN"/>
        </w:rPr>
        <w:drawing>
          <wp:inline distT="0" distB="0" distL="114300" distR="114300">
            <wp:extent cx="5445125" cy="3940810"/>
            <wp:effectExtent l="0" t="0" r="3175" b="2540"/>
            <wp:docPr id="10" name="图片 10" descr="未命名_副本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未命名_副本2_副本"/>
                    <pic:cNvPicPr>
                      <a:picLocks noChangeAspect="1"/>
                    </pic:cNvPicPr>
                  </pic:nvPicPr>
                  <pic:blipFill>
                    <a:blip r:embed="rId13"/>
                    <a:stretch>
                      <a:fillRect/>
                    </a:stretch>
                  </pic:blipFill>
                  <pic:spPr>
                    <a:xfrm>
                      <a:off x="0" y="0"/>
                      <a:ext cx="5445125" cy="3940810"/>
                    </a:xfrm>
                    <a:prstGeom prst="rect">
                      <a:avLst/>
                    </a:prstGeom>
                  </pic:spPr>
                </pic:pic>
              </a:graphicData>
            </a:graphic>
          </wp:inline>
        </w:drawing>
      </w:r>
    </w:p>
    <w:p w14:paraId="422C534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firstLine="700" w:firstLineChars="0"/>
        <w:jc w:val="left"/>
        <w:textAlignment w:val="auto"/>
        <w:rPr>
          <w:rFonts w:hint="eastAsia" w:ascii="微软雅黑" w:hAnsi="微软雅黑" w:eastAsia="微软雅黑" w:cs="微软雅黑"/>
          <w:i w:val="0"/>
          <w:iCs w:val="0"/>
          <w:caps w:val="0"/>
          <w:color w:val="333333"/>
          <w:spacing w:val="0"/>
          <w:sz w:val="32"/>
          <w:szCs w:val="32"/>
        </w:rPr>
      </w:pPr>
      <w:r>
        <w:rPr>
          <w:rFonts w:hint="eastAsia" w:ascii="楷体_GB2312" w:hAnsi="微软雅黑" w:eastAsia="楷体_GB2312" w:cs="楷体_GB2312"/>
          <w:i w:val="0"/>
          <w:iCs w:val="0"/>
          <w:caps w:val="0"/>
          <w:color w:val="333333"/>
          <w:spacing w:val="0"/>
          <w:sz w:val="32"/>
          <w:szCs w:val="32"/>
        </w:rPr>
        <w:t>（五）本行政机关政府信息公开工作年度报告数据统计需要说明的事项</w:t>
      </w:r>
    </w:p>
    <w:p w14:paraId="6A6CC99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firstLine="700" w:firstLineChars="0"/>
        <w:jc w:val="both"/>
        <w:textAlignment w:val="auto"/>
        <w:rPr>
          <w:rFonts w:hint="default" w:ascii="仿宋_GB2312" w:hAnsi="微软雅黑" w:eastAsia="仿宋_GB2312" w:cs="仿宋_GB2312"/>
          <w:i w:val="0"/>
          <w:iCs w:val="0"/>
          <w:caps w:val="0"/>
          <w:color w:val="333333"/>
          <w:spacing w:val="0"/>
          <w:sz w:val="32"/>
          <w:szCs w:val="32"/>
          <w:lang w:val="en-US" w:eastAsia="zh-CN"/>
        </w:rPr>
      </w:pPr>
      <w:r>
        <w:rPr>
          <w:rFonts w:hint="eastAsia" w:ascii="仿宋_GB2312" w:hAnsi="微软雅黑" w:eastAsia="仿宋_GB2312" w:cs="仿宋_GB2312"/>
          <w:i w:val="0"/>
          <w:iCs w:val="0"/>
          <w:caps w:val="0"/>
          <w:color w:val="333333"/>
          <w:spacing w:val="0"/>
          <w:sz w:val="32"/>
          <w:szCs w:val="32"/>
          <w:lang w:val="en-US" w:eastAsia="zh-CN"/>
        </w:rPr>
        <w:t>本机关依申请公开中的9件“其他”信息，分别是1件申请公开2024年度卫生健康统计公报，因申请时统计公报未出，已告知申请人统计公报发布后，会及时在委网站公开；3件申请信息经与申请人沟通，当面说明情况，申请人自愿撤回申请；5件属于咨询类信息，经与申请人对接，自愿放弃申请。</w:t>
      </w:r>
    </w:p>
    <w:p w14:paraId="03E184A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firstLine="700" w:firstLineChars="0"/>
        <w:jc w:val="left"/>
        <w:textAlignment w:val="auto"/>
        <w:rPr>
          <w:rFonts w:hint="eastAsia" w:ascii="微软雅黑" w:hAnsi="微软雅黑" w:eastAsia="微软雅黑" w:cs="微软雅黑"/>
          <w:i w:val="0"/>
          <w:iCs w:val="0"/>
          <w:caps w:val="0"/>
          <w:color w:val="333333"/>
          <w:spacing w:val="0"/>
          <w:sz w:val="32"/>
          <w:szCs w:val="32"/>
        </w:rPr>
      </w:pPr>
      <w:r>
        <w:rPr>
          <w:rFonts w:hint="eastAsia" w:ascii="楷体_GB2312" w:hAnsi="微软雅黑" w:eastAsia="楷体_GB2312" w:cs="楷体_GB2312"/>
          <w:i w:val="0"/>
          <w:iCs w:val="0"/>
          <w:caps w:val="0"/>
          <w:color w:val="333333"/>
          <w:spacing w:val="0"/>
          <w:sz w:val="32"/>
          <w:szCs w:val="32"/>
        </w:rPr>
        <w:t>（六）本行政机关认为需要报告的其他事项</w:t>
      </w:r>
    </w:p>
    <w:p w14:paraId="17C791C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firstLine="700" w:firstLineChars="0"/>
        <w:jc w:val="both"/>
        <w:textAlignment w:val="auto"/>
        <w:rPr>
          <w:rFonts w:hint="eastAsia" w:ascii="仿宋_GB2312" w:hAnsi="微软雅黑" w:eastAsia="仿宋_GB2312" w:cs="仿宋_GB2312"/>
          <w:i w:val="0"/>
          <w:iCs w:val="0"/>
          <w:caps w:val="0"/>
          <w:color w:val="333333"/>
          <w:spacing w:val="0"/>
          <w:sz w:val="32"/>
          <w:szCs w:val="32"/>
        </w:rPr>
      </w:pPr>
      <w:r>
        <w:rPr>
          <w:rFonts w:hint="eastAsia" w:ascii="仿宋_GB2312" w:hAnsi="微软雅黑" w:eastAsia="仿宋_GB2312" w:cs="仿宋_GB2312"/>
          <w:i w:val="0"/>
          <w:iCs w:val="0"/>
          <w:caps w:val="0"/>
          <w:color w:val="333333"/>
          <w:spacing w:val="0"/>
          <w:sz w:val="32"/>
          <w:szCs w:val="32"/>
          <w:lang w:val="en-US" w:eastAsia="zh-CN"/>
        </w:rPr>
        <w:t>本机关负责全市卫生健康领域</w:t>
      </w:r>
      <w:r>
        <w:rPr>
          <w:rFonts w:hint="eastAsia" w:ascii="仿宋_GB2312" w:hAnsi="微软雅黑" w:eastAsia="仿宋_GB2312" w:cs="仿宋_GB2312"/>
          <w:i w:val="0"/>
          <w:iCs w:val="0"/>
          <w:caps w:val="0"/>
          <w:color w:val="333333"/>
          <w:spacing w:val="0"/>
          <w:sz w:val="32"/>
          <w:szCs w:val="32"/>
        </w:rPr>
        <w:t>公共企事业单位信息公开工作</w:t>
      </w:r>
      <w:r>
        <w:rPr>
          <w:rFonts w:hint="eastAsia" w:ascii="仿宋_GB2312" w:hAnsi="微软雅黑" w:eastAsia="仿宋_GB2312" w:cs="仿宋_GB2312"/>
          <w:i w:val="0"/>
          <w:iCs w:val="0"/>
          <w:caps w:val="0"/>
          <w:color w:val="333333"/>
          <w:spacing w:val="0"/>
          <w:sz w:val="32"/>
          <w:szCs w:val="32"/>
          <w:lang w:eastAsia="zh-CN"/>
        </w:rPr>
        <w:t>。</w:t>
      </w:r>
      <w:r>
        <w:rPr>
          <w:rFonts w:hint="eastAsia" w:ascii="仿宋_GB2312" w:hAnsi="微软雅黑" w:eastAsia="仿宋_GB2312" w:cs="仿宋_GB2312"/>
          <w:i w:val="0"/>
          <w:iCs w:val="0"/>
          <w:caps w:val="0"/>
          <w:color w:val="333333"/>
          <w:spacing w:val="0"/>
          <w:sz w:val="32"/>
          <w:szCs w:val="32"/>
          <w:lang w:val="en-US" w:eastAsia="zh-CN"/>
        </w:rPr>
        <w:t>2024年，积极督促委属事业单位修改完善公开目录，及时更新相关信息，</w:t>
      </w:r>
      <w:r>
        <w:rPr>
          <w:rFonts w:hint="eastAsia" w:ascii="仿宋_GB2312" w:hAnsi="微软雅黑" w:eastAsia="仿宋_GB2312" w:cs="仿宋_GB2312"/>
          <w:i w:val="0"/>
          <w:iCs w:val="0"/>
          <w:caps w:val="0"/>
          <w:color w:val="333333"/>
          <w:spacing w:val="0"/>
          <w:sz w:val="32"/>
          <w:szCs w:val="32"/>
        </w:rPr>
        <w:t>方便群众了解医疗卫生机构信息</w:t>
      </w:r>
      <w:r>
        <w:rPr>
          <w:rFonts w:hint="eastAsia" w:ascii="仿宋_GB2312" w:hAnsi="微软雅黑" w:eastAsia="仿宋_GB2312" w:cs="仿宋_GB2312"/>
          <w:i w:val="0"/>
          <w:iCs w:val="0"/>
          <w:caps w:val="0"/>
          <w:color w:val="333333"/>
          <w:spacing w:val="0"/>
          <w:sz w:val="32"/>
          <w:szCs w:val="32"/>
          <w:lang w:val="en-US" w:eastAsia="zh-CN"/>
        </w:rPr>
        <w:t>；同时迎接了省第三方效能监测的现场检查</w:t>
      </w:r>
      <w:r>
        <w:rPr>
          <w:rFonts w:hint="eastAsia" w:ascii="仿宋_GB2312" w:hAnsi="微软雅黑" w:eastAsia="仿宋_GB2312" w:cs="仿宋_GB2312"/>
          <w:i w:val="0"/>
          <w:iCs w:val="0"/>
          <w:caps w:val="0"/>
          <w:color w:val="333333"/>
          <w:spacing w:val="0"/>
          <w:sz w:val="32"/>
          <w:szCs w:val="32"/>
        </w:rPr>
        <w:t>。</w:t>
      </w:r>
      <w:r>
        <w:rPr>
          <w:rFonts w:hint="eastAsia" w:ascii="仿宋_GB2312" w:hAnsi="微软雅黑" w:eastAsia="仿宋_GB2312" w:cs="仿宋_GB2312"/>
          <w:i w:val="0"/>
          <w:iCs w:val="0"/>
          <w:caps w:val="0"/>
          <w:color w:val="333333"/>
          <w:spacing w:val="0"/>
          <w:sz w:val="32"/>
          <w:szCs w:val="32"/>
          <w:lang w:val="en-US" w:eastAsia="zh-CN"/>
        </w:rPr>
        <w:t>委网站按时向</w:t>
      </w:r>
      <w:r>
        <w:rPr>
          <w:rFonts w:hint="eastAsia" w:ascii="仿宋_GB2312" w:hAnsi="微软雅黑" w:eastAsia="仿宋_GB2312" w:cs="仿宋_GB2312"/>
          <w:i w:val="0"/>
          <w:iCs w:val="0"/>
          <w:caps w:val="0"/>
          <w:color w:val="333333"/>
          <w:spacing w:val="0"/>
          <w:sz w:val="32"/>
          <w:szCs w:val="32"/>
        </w:rPr>
        <w:t>社会公开</w:t>
      </w:r>
      <w:r>
        <w:rPr>
          <w:rFonts w:hint="eastAsia" w:ascii="仿宋_GB2312" w:hAnsi="微软雅黑" w:eastAsia="仿宋_GB2312" w:cs="仿宋_GB2312"/>
          <w:i w:val="0"/>
          <w:iCs w:val="0"/>
          <w:caps w:val="0"/>
          <w:color w:val="333333"/>
          <w:spacing w:val="0"/>
          <w:sz w:val="32"/>
          <w:szCs w:val="32"/>
          <w:lang w:val="en-US" w:eastAsia="zh-CN"/>
        </w:rPr>
        <w:t>了</w:t>
      </w:r>
      <w:r>
        <w:rPr>
          <w:rFonts w:hint="eastAsia" w:ascii="仿宋_GB2312" w:hAnsi="微软雅黑" w:eastAsia="仿宋_GB2312" w:cs="仿宋_GB2312"/>
          <w:i w:val="0"/>
          <w:iCs w:val="0"/>
          <w:caps w:val="0"/>
          <w:color w:val="333333"/>
          <w:spacing w:val="0"/>
          <w:sz w:val="32"/>
          <w:szCs w:val="32"/>
        </w:rPr>
        <w:t>每季度用户水龙头（管网末梢）水质状况。</w:t>
      </w:r>
    </w:p>
    <w:p w14:paraId="3A84596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pPr>
      <w:r>
        <w:drawing>
          <wp:inline distT="0" distB="0" distL="114300" distR="114300">
            <wp:extent cx="5615305" cy="3778885"/>
            <wp:effectExtent l="0" t="0" r="4445" b="1206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4"/>
                    <a:stretch>
                      <a:fillRect/>
                    </a:stretch>
                  </pic:blipFill>
                  <pic:spPr>
                    <a:xfrm>
                      <a:off x="0" y="0"/>
                      <a:ext cx="5615305" cy="3778885"/>
                    </a:xfrm>
                    <a:prstGeom prst="rect">
                      <a:avLst/>
                    </a:prstGeom>
                    <a:noFill/>
                    <a:ln>
                      <a:noFill/>
                    </a:ln>
                  </pic:spPr>
                </pic:pic>
              </a:graphicData>
            </a:graphic>
          </wp:inline>
        </w:drawing>
      </w:r>
    </w:p>
    <w:p w14:paraId="0F4576D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仿宋_GB2312" w:hAnsi="微软雅黑" w:eastAsia="仿宋_GB2312" w:cs="仿宋_GB2312"/>
          <w:i w:val="0"/>
          <w:iCs w:val="0"/>
          <w:caps w:val="0"/>
          <w:color w:val="333333"/>
          <w:spacing w:val="0"/>
          <w:sz w:val="32"/>
          <w:szCs w:val="32"/>
        </w:rPr>
      </w:pPr>
      <w:r>
        <w:drawing>
          <wp:inline distT="0" distB="0" distL="114300" distR="114300">
            <wp:extent cx="5878195" cy="4758055"/>
            <wp:effectExtent l="0" t="0" r="8255" b="444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5"/>
                    <a:stretch>
                      <a:fillRect/>
                    </a:stretch>
                  </pic:blipFill>
                  <pic:spPr>
                    <a:xfrm>
                      <a:off x="0" y="0"/>
                      <a:ext cx="5878195" cy="4758055"/>
                    </a:xfrm>
                    <a:prstGeom prst="rect">
                      <a:avLst/>
                    </a:prstGeom>
                    <a:noFill/>
                    <a:ln>
                      <a:noFill/>
                    </a:ln>
                  </pic:spPr>
                </pic:pic>
              </a:graphicData>
            </a:graphic>
          </wp:inline>
        </w:drawing>
      </w:r>
    </w:p>
    <w:p w14:paraId="022DCF59">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leftChars="0" w:right="0" w:firstLine="700" w:firstLineChars="0"/>
        <w:jc w:val="left"/>
        <w:rPr>
          <w:rFonts w:hint="eastAsia" w:ascii="微软雅黑" w:hAnsi="微软雅黑" w:eastAsia="微软雅黑" w:cs="微软雅黑"/>
          <w:i w:val="0"/>
          <w:iCs w:val="0"/>
          <w:caps w:val="0"/>
          <w:color w:val="333333"/>
          <w:spacing w:val="0"/>
          <w:sz w:val="32"/>
          <w:szCs w:val="32"/>
        </w:rPr>
      </w:pPr>
      <w:r>
        <w:rPr>
          <w:rFonts w:hint="eastAsia" w:ascii="楷体_GB2312" w:hAnsi="微软雅黑" w:eastAsia="楷体_GB2312" w:cs="楷体_GB2312"/>
          <w:i w:val="0"/>
          <w:iCs w:val="0"/>
          <w:caps w:val="0"/>
          <w:color w:val="333333"/>
          <w:spacing w:val="0"/>
          <w:sz w:val="32"/>
          <w:szCs w:val="32"/>
        </w:rPr>
        <w:t>（七）其他有关文件专门要求通过政府信息公开工作年度报告予以报告的事项</w:t>
      </w:r>
    </w:p>
    <w:p w14:paraId="0693E72F">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leftChars="0" w:right="0" w:firstLine="700" w:firstLineChars="0"/>
        <w:jc w:val="left"/>
        <w:rPr>
          <w:rFonts w:hint="eastAsia" w:ascii="微软雅黑" w:hAnsi="微软雅黑" w:eastAsia="微软雅黑" w:cs="微软雅黑"/>
          <w:i w:val="0"/>
          <w:iCs w:val="0"/>
          <w:caps w:val="0"/>
          <w:color w:val="333333"/>
          <w:spacing w:val="0"/>
          <w:sz w:val="32"/>
          <w:szCs w:val="32"/>
        </w:rPr>
      </w:pPr>
      <w:r>
        <w:rPr>
          <w:rFonts w:hint="eastAsia" w:ascii="仿宋_GB2312" w:hAnsi="微软雅黑" w:eastAsia="仿宋_GB2312" w:cs="仿宋_GB2312"/>
          <w:i w:val="0"/>
          <w:iCs w:val="0"/>
          <w:caps w:val="0"/>
          <w:color w:val="333333"/>
          <w:spacing w:val="0"/>
          <w:sz w:val="32"/>
          <w:szCs w:val="32"/>
        </w:rPr>
        <w:t>无。</w:t>
      </w:r>
    </w:p>
    <w:sectPr>
      <w:footerReference r:id="rId3" w:type="default"/>
      <w:pgSz w:w="11906" w:h="16838"/>
      <w:pgMar w:top="1440" w:right="1474" w:bottom="1440"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Light">
    <w:altName w:val="宋体"/>
    <w:panose1 w:val="02010600030101010101"/>
    <w:charset w:val="86"/>
    <w:family w:val="auto"/>
    <w:pitch w:val="default"/>
    <w:sig w:usb0="00000000" w:usb1="00000000" w:usb2="00000016" w:usb3="00000000" w:csb0="0004000F" w:csb1="00000000"/>
  </w:font>
  <w:font w:name="Menlo">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等线">
    <w:altName w:val="Arial Unicode MS"/>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13B61">
    <w:pPr>
      <w:pStyle w:val="4"/>
      <w:jc w:val="center"/>
      <w:rPr>
        <w:rFonts w:ascii="宋体" w:hAnsi="宋体" w:eastAsia="宋体"/>
        <w:sz w:val="28"/>
        <w:szCs w:val="28"/>
      </w:rPr>
    </w:pPr>
    <w:sdt>
      <w:sdtPr>
        <w:rPr>
          <w:rFonts w:ascii="宋体" w:hAnsi="宋体" w:eastAsia="宋体"/>
          <w:sz w:val="28"/>
          <w:szCs w:val="28"/>
        </w:rPr>
        <w:id w:val="-970817728"/>
        <w:docPartObj>
          <w:docPartGallery w:val="autotext"/>
        </w:docPartObj>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sdtContent>
    </w:sdt>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yY2Y5Y2UxZjkwY2NiYzg1MTM4ZmQzOTFhYWJhY2IifQ=="/>
  </w:docVars>
  <w:rsids>
    <w:rsidRoot w:val="00502C34"/>
    <w:rsid w:val="0003350B"/>
    <w:rsid w:val="000456E4"/>
    <w:rsid w:val="000500B1"/>
    <w:rsid w:val="0006512C"/>
    <w:rsid w:val="000A57BF"/>
    <w:rsid w:val="000B4F9F"/>
    <w:rsid w:val="000C1FDA"/>
    <w:rsid w:val="00121655"/>
    <w:rsid w:val="00123E53"/>
    <w:rsid w:val="0015613D"/>
    <w:rsid w:val="001679FF"/>
    <w:rsid w:val="00180B4F"/>
    <w:rsid w:val="00182648"/>
    <w:rsid w:val="00195385"/>
    <w:rsid w:val="00196721"/>
    <w:rsid w:val="001A2CC0"/>
    <w:rsid w:val="001E3A4B"/>
    <w:rsid w:val="001F026B"/>
    <w:rsid w:val="00203F15"/>
    <w:rsid w:val="00211F6A"/>
    <w:rsid w:val="002338C1"/>
    <w:rsid w:val="00243BAF"/>
    <w:rsid w:val="00254F2B"/>
    <w:rsid w:val="002713F8"/>
    <w:rsid w:val="00280894"/>
    <w:rsid w:val="00286BF3"/>
    <w:rsid w:val="002B58BB"/>
    <w:rsid w:val="00315DDF"/>
    <w:rsid w:val="00333740"/>
    <w:rsid w:val="00372E47"/>
    <w:rsid w:val="00384B12"/>
    <w:rsid w:val="00392DAD"/>
    <w:rsid w:val="003C1943"/>
    <w:rsid w:val="003F2D15"/>
    <w:rsid w:val="004162E7"/>
    <w:rsid w:val="00463EF5"/>
    <w:rsid w:val="00464CBD"/>
    <w:rsid w:val="0047087D"/>
    <w:rsid w:val="004D3C2B"/>
    <w:rsid w:val="004D6D24"/>
    <w:rsid w:val="004F0AC0"/>
    <w:rsid w:val="00502C34"/>
    <w:rsid w:val="00515416"/>
    <w:rsid w:val="00515E7C"/>
    <w:rsid w:val="00516159"/>
    <w:rsid w:val="00531FBB"/>
    <w:rsid w:val="00552F1D"/>
    <w:rsid w:val="005548EB"/>
    <w:rsid w:val="00557891"/>
    <w:rsid w:val="00612182"/>
    <w:rsid w:val="00621506"/>
    <w:rsid w:val="00633C9D"/>
    <w:rsid w:val="00683E94"/>
    <w:rsid w:val="00690467"/>
    <w:rsid w:val="006B5301"/>
    <w:rsid w:val="006E2A67"/>
    <w:rsid w:val="00760120"/>
    <w:rsid w:val="00772B24"/>
    <w:rsid w:val="007A05F9"/>
    <w:rsid w:val="007E43CD"/>
    <w:rsid w:val="0081582B"/>
    <w:rsid w:val="008244CB"/>
    <w:rsid w:val="00846109"/>
    <w:rsid w:val="00851E51"/>
    <w:rsid w:val="008642AF"/>
    <w:rsid w:val="008C156F"/>
    <w:rsid w:val="008C68B1"/>
    <w:rsid w:val="008D6835"/>
    <w:rsid w:val="008F1CD7"/>
    <w:rsid w:val="00923DE3"/>
    <w:rsid w:val="00940F82"/>
    <w:rsid w:val="009674B5"/>
    <w:rsid w:val="00990BC0"/>
    <w:rsid w:val="00993A11"/>
    <w:rsid w:val="009D1EAC"/>
    <w:rsid w:val="00A565B0"/>
    <w:rsid w:val="00A9562B"/>
    <w:rsid w:val="00AC0838"/>
    <w:rsid w:val="00AC0B55"/>
    <w:rsid w:val="00B0360E"/>
    <w:rsid w:val="00B06CEF"/>
    <w:rsid w:val="00B20E9B"/>
    <w:rsid w:val="00B56B27"/>
    <w:rsid w:val="00B82BD5"/>
    <w:rsid w:val="00B846A3"/>
    <w:rsid w:val="00BA1959"/>
    <w:rsid w:val="00BB1402"/>
    <w:rsid w:val="00BD1F13"/>
    <w:rsid w:val="00BD2DFA"/>
    <w:rsid w:val="00BE7C3A"/>
    <w:rsid w:val="00BF2FF7"/>
    <w:rsid w:val="00C106D4"/>
    <w:rsid w:val="00C24C5F"/>
    <w:rsid w:val="00C62BE4"/>
    <w:rsid w:val="00C74995"/>
    <w:rsid w:val="00C914DE"/>
    <w:rsid w:val="00CA2A1F"/>
    <w:rsid w:val="00CE332F"/>
    <w:rsid w:val="00D206E1"/>
    <w:rsid w:val="00DD7168"/>
    <w:rsid w:val="00DF3523"/>
    <w:rsid w:val="00DF7D80"/>
    <w:rsid w:val="00EB4A6E"/>
    <w:rsid w:val="00ED6874"/>
    <w:rsid w:val="00ED698F"/>
    <w:rsid w:val="00EE7943"/>
    <w:rsid w:val="00F01622"/>
    <w:rsid w:val="00F03027"/>
    <w:rsid w:val="00F42818"/>
    <w:rsid w:val="00F4648D"/>
    <w:rsid w:val="00F57A9C"/>
    <w:rsid w:val="00F7173D"/>
    <w:rsid w:val="00F86564"/>
    <w:rsid w:val="00F90155"/>
    <w:rsid w:val="00FC01CB"/>
    <w:rsid w:val="00FD5729"/>
    <w:rsid w:val="00FF1856"/>
    <w:rsid w:val="00FF3FF5"/>
    <w:rsid w:val="00FF65C3"/>
    <w:rsid w:val="020259E0"/>
    <w:rsid w:val="070E3166"/>
    <w:rsid w:val="07E6312F"/>
    <w:rsid w:val="08F910A6"/>
    <w:rsid w:val="09196A84"/>
    <w:rsid w:val="0B917FD8"/>
    <w:rsid w:val="13B657A7"/>
    <w:rsid w:val="178E5765"/>
    <w:rsid w:val="181C0856"/>
    <w:rsid w:val="19526812"/>
    <w:rsid w:val="19E83F82"/>
    <w:rsid w:val="1C835FD3"/>
    <w:rsid w:val="2055009F"/>
    <w:rsid w:val="277125BE"/>
    <w:rsid w:val="27FE358E"/>
    <w:rsid w:val="283852AB"/>
    <w:rsid w:val="2A704730"/>
    <w:rsid w:val="3AB68BA3"/>
    <w:rsid w:val="3C787E8C"/>
    <w:rsid w:val="3F3BD0D4"/>
    <w:rsid w:val="4A851D59"/>
    <w:rsid w:val="4CB639D3"/>
    <w:rsid w:val="4D445EFB"/>
    <w:rsid w:val="509E3B74"/>
    <w:rsid w:val="52FA3538"/>
    <w:rsid w:val="601C5E1C"/>
    <w:rsid w:val="638D1F52"/>
    <w:rsid w:val="650F16D6"/>
    <w:rsid w:val="6A366C68"/>
    <w:rsid w:val="6C3D6102"/>
    <w:rsid w:val="70DA047E"/>
    <w:rsid w:val="76067942"/>
    <w:rsid w:val="77FF86D9"/>
    <w:rsid w:val="789F07F6"/>
    <w:rsid w:val="7DB71690"/>
    <w:rsid w:val="7F601E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7"/>
    <w:unhideWhenUsed/>
    <w:qFormat/>
    <w:uiPriority w:val="99"/>
    <w:pPr>
      <w:tabs>
        <w:tab w:val="center" w:pos="4153"/>
        <w:tab w:val="right" w:pos="8306"/>
      </w:tabs>
      <w:snapToGrid w:val="0"/>
      <w:jc w:val="left"/>
    </w:pPr>
    <w:rPr>
      <w:sz w:val="18"/>
      <w:szCs w:val="18"/>
    </w:rPr>
  </w:style>
  <w:style w:type="paragraph" w:styleId="5">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Strong"/>
    <w:basedOn w:val="8"/>
    <w:qFormat/>
    <w:uiPriority w:val="22"/>
    <w:rPr>
      <w:b/>
    </w:rPr>
  </w:style>
  <w:style w:type="character" w:styleId="10">
    <w:name w:val="FollowedHyperlink"/>
    <w:basedOn w:val="8"/>
    <w:unhideWhenUsed/>
    <w:qFormat/>
    <w:uiPriority w:val="99"/>
    <w:rPr>
      <w:color w:val="337AB7"/>
      <w:u w:val="single"/>
    </w:rPr>
  </w:style>
  <w:style w:type="character" w:styleId="11">
    <w:name w:val="HTML Definition"/>
    <w:basedOn w:val="8"/>
    <w:unhideWhenUsed/>
    <w:qFormat/>
    <w:uiPriority w:val="99"/>
    <w:rPr>
      <w:i/>
    </w:rPr>
  </w:style>
  <w:style w:type="character" w:styleId="12">
    <w:name w:val="Hyperlink"/>
    <w:basedOn w:val="8"/>
    <w:unhideWhenUsed/>
    <w:qFormat/>
    <w:uiPriority w:val="99"/>
    <w:rPr>
      <w:color w:val="337AB7"/>
      <w:u w:val="single"/>
    </w:rPr>
  </w:style>
  <w:style w:type="character" w:styleId="13">
    <w:name w:val="HTML Code"/>
    <w:basedOn w:val="8"/>
    <w:unhideWhenUsed/>
    <w:qFormat/>
    <w:uiPriority w:val="99"/>
    <w:rPr>
      <w:rFonts w:ascii="Menlo" w:hAnsi="Menlo" w:eastAsia="Menlo" w:cs="Menlo"/>
      <w:color w:val="C7254E"/>
      <w:sz w:val="21"/>
      <w:szCs w:val="21"/>
      <w:shd w:val="clear" w:color="auto" w:fill="F9F2F4"/>
    </w:rPr>
  </w:style>
  <w:style w:type="character" w:styleId="14">
    <w:name w:val="HTML Keyboard"/>
    <w:basedOn w:val="8"/>
    <w:unhideWhenUsed/>
    <w:qFormat/>
    <w:uiPriority w:val="99"/>
    <w:rPr>
      <w:rFonts w:hint="default" w:ascii="Menlo" w:hAnsi="Menlo" w:eastAsia="Menlo" w:cs="Menlo"/>
      <w:color w:val="FFFFFF"/>
      <w:sz w:val="21"/>
      <w:szCs w:val="21"/>
      <w:shd w:val="clear" w:color="auto" w:fill="333333"/>
    </w:rPr>
  </w:style>
  <w:style w:type="character" w:styleId="15">
    <w:name w:val="HTML Sample"/>
    <w:basedOn w:val="8"/>
    <w:unhideWhenUsed/>
    <w:qFormat/>
    <w:uiPriority w:val="99"/>
    <w:rPr>
      <w:rFonts w:hint="default" w:ascii="Menlo" w:hAnsi="Menlo" w:eastAsia="Menlo" w:cs="Menlo"/>
      <w:sz w:val="21"/>
      <w:szCs w:val="21"/>
    </w:rPr>
  </w:style>
  <w:style w:type="character" w:customStyle="1" w:styleId="16">
    <w:name w:val="页眉 字符"/>
    <w:basedOn w:val="8"/>
    <w:link w:val="5"/>
    <w:qFormat/>
    <w:uiPriority w:val="99"/>
    <w:rPr>
      <w:sz w:val="18"/>
      <w:szCs w:val="18"/>
    </w:rPr>
  </w:style>
  <w:style w:type="character" w:customStyle="1" w:styleId="17">
    <w:name w:val="页脚 字符"/>
    <w:basedOn w:val="8"/>
    <w:link w:val="4"/>
    <w:qFormat/>
    <w:uiPriority w:val="99"/>
    <w:rPr>
      <w:sz w:val="18"/>
      <w:szCs w:val="18"/>
    </w:rPr>
  </w:style>
  <w:style w:type="character" w:customStyle="1" w:styleId="18">
    <w:name w:val="标题 1 字符"/>
    <w:basedOn w:val="8"/>
    <w:link w:val="2"/>
    <w:qFormat/>
    <w:uiPriority w:val="9"/>
    <w:rPr>
      <w:b/>
      <w:bCs/>
      <w:kern w:val="44"/>
      <w:sz w:val="44"/>
      <w:szCs w:val="44"/>
    </w:rPr>
  </w:style>
  <w:style w:type="character" w:customStyle="1" w:styleId="19">
    <w:name w:val="标题 2 字符"/>
    <w:basedOn w:val="8"/>
    <w:link w:val="3"/>
    <w:qFormat/>
    <w:uiPriority w:val="9"/>
    <w:rPr>
      <w:rFonts w:asciiTheme="majorHAnsi" w:hAnsiTheme="majorHAnsi" w:eastAsiaTheme="majorEastAsia" w:cstheme="majorBidi"/>
      <w:b/>
      <w:bCs/>
      <w:sz w:val="32"/>
      <w:szCs w:val="32"/>
    </w:rPr>
  </w:style>
  <w:style w:type="paragraph" w:customStyle="1" w:styleId="20">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chart" Target="charts/chart2.xml"/><Relationship Id="rId5" Type="http://schemas.openxmlformats.org/officeDocument/2006/relationships/chart" Target="charts/chart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1.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主动公开</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委网站</c:v>
                </c:pt>
                <c:pt idx="1">
                  <c:v>政务新媒体</c:v>
                </c:pt>
                <c:pt idx="2">
                  <c:v>主流媒体</c:v>
                </c:pt>
                <c:pt idx="3">
                  <c:v>新闻发布会</c:v>
                </c:pt>
              </c:strCache>
            </c:strRef>
          </c:cat>
          <c:val>
            <c:numRef>
              <c:f>Sheet1!$B$2:$B$5</c:f>
              <c:numCache>
                <c:formatCode>General</c:formatCode>
                <c:ptCount val="4"/>
                <c:pt idx="0">
                  <c:v>4029</c:v>
                </c:pt>
                <c:pt idx="1">
                  <c:v>2358</c:v>
                </c:pt>
                <c:pt idx="2">
                  <c:v>35000</c:v>
                </c:pt>
                <c:pt idx="3">
                  <c:v>6</c:v>
                </c:pt>
              </c:numCache>
            </c:numRef>
          </c:val>
        </c:ser>
        <c:ser>
          <c:idx val="1"/>
          <c:order val="1"/>
          <c:tx>
            <c:strRef>
              <c:f>Sheet1!$C$1</c:f>
              <c:strCache>
                <c:ptCount val="1"/>
                <c:pt idx="0">
                  <c:v>2024年</c:v>
                </c:pt>
              </c:strCache>
            </c:strRef>
          </c:tx>
          <c:spPr>
            <a:solidFill>
              <a:schemeClr val="accent2"/>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委网站</c:v>
                </c:pt>
                <c:pt idx="1">
                  <c:v>政务新媒体</c:v>
                </c:pt>
                <c:pt idx="2">
                  <c:v>主流媒体</c:v>
                </c:pt>
                <c:pt idx="3">
                  <c:v>新闻发布会</c:v>
                </c:pt>
              </c:strCache>
            </c:strRef>
          </c:cat>
          <c:val>
            <c:numRef>
              <c:f>Sheet1!$C$2:$C$5</c:f>
              <c:numCache>
                <c:formatCode>General</c:formatCode>
                <c:ptCount val="4"/>
                <c:pt idx="0">
                  <c:v>4167</c:v>
                </c:pt>
                <c:pt idx="1">
                  <c:v>1477</c:v>
                </c:pt>
                <c:pt idx="2">
                  <c:v>51000</c:v>
                </c:pt>
                <c:pt idx="3">
                  <c:v>11</c:v>
                </c:pt>
              </c:numCache>
            </c:numRef>
          </c:val>
        </c:ser>
        <c:dLbls>
          <c:showLegendKey val="0"/>
          <c:showVal val="1"/>
          <c:showCatName val="0"/>
          <c:showSerName val="0"/>
          <c:showPercent val="0"/>
          <c:showBubbleSize val="0"/>
        </c:dLbls>
        <c:gapWidth val="216"/>
        <c:overlap val="-32"/>
        <c:axId val="697945599"/>
        <c:axId val="617987880"/>
      </c:barChart>
      <c:catAx>
        <c:axId val="697945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17987880"/>
        <c:crosses val="autoZero"/>
        <c:auto val="1"/>
        <c:lblAlgn val="ctr"/>
        <c:lblOffset val="100"/>
        <c:noMultiLvlLbl val="0"/>
      </c:catAx>
      <c:valAx>
        <c:axId val="617987880"/>
        <c:scaling>
          <c:orientation val="minMax"/>
        </c:scaling>
        <c:delete val="0"/>
        <c:axPos val="l"/>
        <c:majorGridlines>
          <c:spPr>
            <a:ln w="9525" cap="flat" cmpd="sng" algn="ctr">
              <a:solidFill>
                <a:schemeClr val="lt1">
                  <a:lumMod val="90200"/>
                </a:schemeClr>
              </a:solidFill>
              <a:round/>
            </a:ln>
            <a:effectLst/>
          </c:spPr>
        </c:majorGridlines>
        <c:title>
          <c:layout/>
          <c:overlay val="0"/>
          <c:spPr>
            <a:noFill/>
            <a:ln>
              <a:noFill/>
            </a:ln>
            <a:effectLst/>
          </c:spPr>
          <c:txPr>
            <a:bodyPr rot="-540000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9794559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d23bc800-484b-46d5-9df2-a94672af5970}"/>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依申请公开</a:t>
            </a:r>
          </a:p>
        </c:rich>
      </c:tx>
      <c:layout/>
      <c:overlay val="0"/>
      <c:spPr>
        <a:noFill/>
        <a:ln>
          <a:noFill/>
        </a:ln>
        <a:effectLst/>
      </c:spPr>
    </c:title>
    <c:autoTitleDeleted val="0"/>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manualLayout>
          <c:layoutTarget val="inner"/>
          <c:xMode val="edge"/>
          <c:yMode val="edge"/>
          <c:x val="0.0265764677458323"/>
          <c:y val="0.169145771355716"/>
          <c:w val="0.946847064508335"/>
          <c:h val="0.786442838929027"/>
        </c:manualLayout>
      </c:layout>
      <c:pie3DChart>
        <c:varyColors val="1"/>
        <c:ser>
          <c:idx val="0"/>
          <c:order val="0"/>
          <c:tx>
            <c:strRef>
              <c:f>Sheet1!$B$1</c:f>
              <c:strCache>
                <c:ptCount val="1"/>
                <c:pt idx="0">
                  <c:v>依申请公开</c:v>
                </c:pt>
              </c:strCache>
            </c:strRef>
          </c:tx>
          <c:spPr>
            <a:gradFill>
              <a:gsLst>
                <a:gs pos="0">
                  <a:schemeClr val="accent1">
                    <a:lumMod val="40000"/>
                    <a:lumOff val="60000"/>
                  </a:schemeClr>
                </a:gs>
                <a:gs pos="90000">
                  <a:schemeClr val="accent1"/>
                </a:gs>
              </a:gsLst>
              <a:lin ang="4800000" scaled="0"/>
            </a:gradFill>
            <a:scene3d>
              <a:camera prst="orthographicFront"/>
              <a:lightRig rig="threePt" dir="t"/>
            </a:scene3d>
            <a:sp3d contourW="9525"/>
          </c:spPr>
          <c:explosion val="0"/>
          <c:dPt>
            <c:idx val="0"/>
            <c:bubble3D val="0"/>
            <c:spPr>
              <a:gradFill>
                <a:gsLst>
                  <a:gs pos="0">
                    <a:schemeClr val="accent1">
                      <a:lumMod val="40000"/>
                      <a:lumOff val="60000"/>
                    </a:schemeClr>
                  </a:gs>
                  <a:gs pos="90000">
                    <a:schemeClr val="accent1"/>
                  </a:gs>
                </a:gsLst>
                <a:lin ang="4800000" scaled="0"/>
              </a:gradFill>
              <a:ln>
                <a:gradFill>
                  <a:gsLst>
                    <a:gs pos="0">
                      <a:schemeClr val="accent1"/>
                    </a:gs>
                    <a:gs pos="100000">
                      <a:schemeClr val="accent1">
                        <a:lumMod val="75000"/>
                      </a:schemeClr>
                    </a:gs>
                  </a:gsLst>
                  <a:lin ang="5400000" scaled="1"/>
                </a:gradFill>
              </a:ln>
              <a:effectLst/>
              <a:scene3d>
                <a:camera prst="orthographicFront"/>
                <a:lightRig rig="threePt" dir="t"/>
              </a:scene3d>
              <a:sp3d contourW="9525"/>
            </c:spPr>
          </c:dPt>
          <c:dPt>
            <c:idx val="1"/>
            <c:bubble3D val="0"/>
            <c:spPr>
              <a:gradFill>
                <a:gsLst>
                  <a:gs pos="0">
                    <a:schemeClr val="accent2">
                      <a:lumMod val="40000"/>
                      <a:lumOff val="60000"/>
                    </a:schemeClr>
                  </a:gs>
                  <a:gs pos="90000">
                    <a:schemeClr val="accent2"/>
                  </a:gs>
                </a:gsLst>
                <a:lin ang="4800000" scaled="0"/>
              </a:gradFill>
              <a:ln>
                <a:gradFill>
                  <a:gsLst>
                    <a:gs pos="0">
                      <a:schemeClr val="accent2"/>
                    </a:gs>
                    <a:gs pos="100000">
                      <a:schemeClr val="accent2">
                        <a:lumMod val="75000"/>
                      </a:schemeClr>
                    </a:gs>
                  </a:gsLst>
                  <a:lin ang="5400000" scaled="1"/>
                </a:gradFill>
              </a:ln>
              <a:effectLst/>
              <a:scene3d>
                <a:camera prst="orthographicFront"/>
                <a:lightRig rig="threePt" dir="t"/>
              </a:scene3d>
              <a:sp3d contourW="9525"/>
            </c:spPr>
          </c:dPt>
          <c:dPt>
            <c:idx val="2"/>
            <c:bubble3D val="0"/>
            <c:spPr>
              <a:gradFill>
                <a:gsLst>
                  <a:gs pos="0">
                    <a:schemeClr val="accent3">
                      <a:lumMod val="40000"/>
                      <a:lumOff val="60000"/>
                    </a:schemeClr>
                  </a:gs>
                  <a:gs pos="90000">
                    <a:schemeClr val="accent3"/>
                  </a:gs>
                </a:gsLst>
                <a:lin ang="4800000" scaled="0"/>
              </a:gradFill>
              <a:ln>
                <a:gradFill>
                  <a:gsLst>
                    <a:gs pos="0">
                      <a:schemeClr val="accent3"/>
                    </a:gs>
                    <a:gs pos="100000">
                      <a:schemeClr val="accent3">
                        <a:lumMod val="75000"/>
                      </a:schemeClr>
                    </a:gs>
                  </a:gsLst>
                  <a:lin ang="5400000" scaled="1"/>
                </a:gradFill>
              </a:ln>
              <a:effectLst/>
              <a:scene3d>
                <a:camera prst="orthographicFront"/>
                <a:lightRig rig="threePt" dir="t"/>
              </a:scene3d>
              <a:sp3d contourW="9525"/>
            </c:spPr>
          </c:dPt>
          <c:dPt>
            <c:idx val="3"/>
            <c:bubble3D val="0"/>
            <c:spPr>
              <a:gradFill>
                <a:gsLst>
                  <a:gs pos="0">
                    <a:schemeClr val="accent4">
                      <a:lumMod val="40000"/>
                      <a:lumOff val="60000"/>
                    </a:schemeClr>
                  </a:gs>
                  <a:gs pos="90000">
                    <a:schemeClr val="accent4"/>
                  </a:gs>
                </a:gsLst>
                <a:lin ang="4800000" scaled="0"/>
              </a:gradFill>
              <a:ln>
                <a:gradFill>
                  <a:gsLst>
                    <a:gs pos="0">
                      <a:schemeClr val="accent4"/>
                    </a:gs>
                    <a:gs pos="100000">
                      <a:schemeClr val="accent4">
                        <a:lumMod val="75000"/>
                      </a:schemeClr>
                    </a:gs>
                  </a:gsLst>
                  <a:lin ang="5400000" scaled="1"/>
                </a:gradFill>
              </a:ln>
              <a:effectLst/>
              <a:scene3d>
                <a:camera prst="orthographicFront"/>
                <a:lightRig rig="threePt" dir="t"/>
              </a:scene3d>
              <a:sp3d contourW="9525"/>
            </c:spPr>
          </c:dPt>
          <c:dPt>
            <c:idx val="4"/>
            <c:bubble3D val="0"/>
            <c:spPr>
              <a:gradFill>
                <a:gsLst>
                  <a:gs pos="0">
                    <a:schemeClr val="accent5">
                      <a:lumMod val="40000"/>
                      <a:lumOff val="60000"/>
                    </a:schemeClr>
                  </a:gs>
                  <a:gs pos="90000">
                    <a:schemeClr val="accent5"/>
                  </a:gs>
                </a:gsLst>
                <a:lin ang="5400000" scaled="0"/>
              </a:gradFill>
              <a:ln>
                <a:gradFill>
                  <a:gsLst>
                    <a:gs pos="0">
                      <a:schemeClr val="accent5"/>
                    </a:gs>
                    <a:gs pos="100000">
                      <a:schemeClr val="accent5">
                        <a:lumMod val="75000"/>
                      </a:schemeClr>
                    </a:gs>
                  </a:gsLst>
                  <a:lin ang="5400000" scaled="1"/>
                </a:gradFill>
              </a:ln>
              <a:effectLst/>
              <a:scene3d>
                <a:camera prst="orthographicFront"/>
                <a:lightRig rig="threePt" dir="t"/>
              </a:scene3d>
              <a:sp3d contourW="9525"/>
            </c:spPr>
          </c:dPt>
          <c:dPt>
            <c:idx val="5"/>
            <c:bubble3D val="0"/>
            <c:spPr>
              <a:gradFill>
                <a:gsLst>
                  <a:gs pos="0">
                    <a:schemeClr val="accent6">
                      <a:lumMod val="40000"/>
                      <a:lumOff val="60000"/>
                    </a:schemeClr>
                  </a:gs>
                  <a:gs pos="90000">
                    <a:schemeClr val="accent6"/>
                  </a:gs>
                </a:gsLst>
                <a:lin ang="5400000" scaled="0"/>
              </a:gradFill>
              <a:ln>
                <a:gradFill>
                  <a:gsLst>
                    <a:gs pos="0">
                      <a:schemeClr val="accent6"/>
                    </a:gs>
                    <a:gs pos="100000">
                      <a:schemeClr val="accent6">
                        <a:lumMod val="75000"/>
                      </a:schemeClr>
                    </a:gs>
                  </a:gsLst>
                  <a:lin ang="5400000" scaled="1"/>
                </a:gradFill>
              </a:ln>
              <a:effectLst/>
              <a:scene3d>
                <a:camera prst="orthographicFront"/>
                <a:lightRig rig="threePt" dir="t"/>
              </a:scene3d>
              <a:sp3d contourW="9525"/>
            </c:spPr>
          </c:dPt>
          <c:dPt>
            <c:idx val="6"/>
            <c:bubble3D val="0"/>
            <c:spPr>
              <a:gradFill>
                <a:gsLst>
                  <a:gs pos="0">
                    <a:schemeClr val="accent1">
                      <a:lumMod val="60000"/>
                      <a:lumMod val="40000"/>
                      <a:lumOff val="60000"/>
                    </a:schemeClr>
                  </a:gs>
                  <a:gs pos="90000">
                    <a:schemeClr val="accent1">
                      <a:lumMod val="60000"/>
                    </a:schemeClr>
                  </a:gs>
                </a:gsLst>
                <a:lin ang="5400000" scaled="0"/>
              </a:gradFill>
              <a:ln>
                <a:gradFill>
                  <a:gsLst>
                    <a:gs pos="0">
                      <a:schemeClr val="accent1">
                        <a:lumMod val="60000"/>
                      </a:schemeClr>
                    </a:gs>
                    <a:gs pos="100000">
                      <a:schemeClr val="accent1">
                        <a:lumMod val="60000"/>
                        <a:lumMod val="75000"/>
                      </a:schemeClr>
                    </a:gs>
                  </a:gsLst>
                  <a:lin ang="5400000" scaled="1"/>
                </a:gradFill>
              </a:ln>
              <a:effectLst/>
              <a:scene3d>
                <a:camera prst="orthographicFront"/>
                <a:lightRig rig="threePt" dir="t"/>
              </a:scene3d>
              <a:sp3d contourW="9525"/>
            </c:spPr>
          </c:dPt>
          <c:dPt>
            <c:idx val="7"/>
            <c:bubble3D val="0"/>
            <c:spPr>
              <a:gradFill>
                <a:gsLst>
                  <a:gs pos="0">
                    <a:schemeClr val="accent2">
                      <a:lumMod val="60000"/>
                      <a:lumMod val="40000"/>
                      <a:lumOff val="60000"/>
                    </a:schemeClr>
                  </a:gs>
                  <a:gs pos="90000">
                    <a:schemeClr val="accent2">
                      <a:lumMod val="60000"/>
                    </a:schemeClr>
                  </a:gs>
                </a:gsLst>
                <a:lin ang="5400000" scaled="0"/>
              </a:gradFill>
              <a:ln>
                <a:gradFill>
                  <a:gsLst>
                    <a:gs pos="0">
                      <a:schemeClr val="accent2">
                        <a:lumMod val="60000"/>
                      </a:schemeClr>
                    </a:gs>
                    <a:gs pos="100000">
                      <a:schemeClr val="accent2">
                        <a:lumMod val="60000"/>
                        <a:lumMod val="75000"/>
                      </a:schemeClr>
                    </a:gs>
                  </a:gsLst>
                  <a:lin ang="5400000" scaled="1"/>
                </a:gradFill>
              </a:ln>
              <a:effectLst/>
              <a:scene3d>
                <a:camera prst="orthographicFront"/>
                <a:lightRig rig="threePt" dir="t"/>
              </a:scene3d>
              <a:sp3d contourW="9525"/>
            </c:spPr>
          </c:dPt>
          <c:dLbls>
            <c:dLbl>
              <c:idx val="0"/>
              <c:layout>
                <c:manualLayout>
                  <c:x val="0.128128665545501"/>
                  <c:y val="-0.0877323297557057"/>
                </c:manualLayout>
              </c:layout>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spc="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0607262564666834"/>
                  <c:y val="-0.0889118869183599"/>
                </c:manualLayout>
              </c:layout>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spc="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0835811410910494"/>
                  <c:y val="-0.0995856395668772"/>
                </c:manualLayout>
              </c:layout>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spc="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0.296225969549795"/>
                  <c:y val="-0.105319141737256"/>
                </c:manualLayout>
              </c:layout>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spc="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0288944600157474"/>
                  <c:y val="-0.175330370730536"/>
                </c:manualLayout>
              </c:layout>
              <c:tx>
                <c:rich>
                  <a:bodyPr rot="0" spcFirstLastPara="0" vertOverflow="ellipsis" vert="horz" wrap="square" lIns="38100" tIns="19050" rIns="38100" bIns="19050" anchor="ctr" anchorCtr="1"/>
                  <a:lstStyle/>
                  <a:p>
                    <a:pPr defTabSz="914400">
                      <a:defRPr lang="zh-CN" sz="1000" b="0" i="0" u="none" strike="noStrike" kern="1200" spc="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不予处理</a:t>
                    </a:r>
                  </a:p>
                  <a:p>
                    <a:pPr defTabSz="914400">
                      <a:defRPr lang="zh-CN" sz="1000" b="0" i="0" u="none" strike="noStrike" kern="1200" spc="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（重复申请）5</a:t>
                    </a:r>
                  </a:p>
                </c:rich>
              </c:tx>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spc="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5"/>
              <c:layout>
                <c:manualLayout>
                  <c:x val="-0.107388055879338"/>
                  <c:y val="0.0376468531652768"/>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spc="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6"/>
              <c:layout>
                <c:manualLayout>
                  <c:x val="-0.275973370077448"/>
                  <c:y val="-2.65382116124059e-5"/>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spc="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7"/>
              <c:layout/>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spc="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inEnd"/>
              <c:showLegendKey val="0"/>
              <c:showVal val="1"/>
              <c:showCatName val="1"/>
              <c:showSerName val="0"/>
              <c:showPercent val="0"/>
              <c:showBubbleSize val="0"/>
              <c:separator>
</c:separator>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spc="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inEnd"/>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予以公开</c:v>
                </c:pt>
                <c:pt idx="1">
                  <c:v>部分公开</c:v>
                </c:pt>
                <c:pt idx="2">
                  <c:v>不予公开</c:v>
                </c:pt>
                <c:pt idx="3">
                  <c:v>无法提供</c:v>
                </c:pt>
                <c:pt idx="4">
                  <c:v>不予处理（重复申请）</c:v>
                </c:pt>
                <c:pt idx="5">
                  <c:v>其他处理件</c:v>
                </c:pt>
                <c:pt idx="6">
                  <c:v>转结下年度继续办理</c:v>
                </c:pt>
              </c:strCache>
            </c:strRef>
          </c:cat>
          <c:val>
            <c:numRef>
              <c:f>Sheet1!$B$2:$B$9</c:f>
              <c:numCache>
                <c:formatCode>General</c:formatCode>
                <c:ptCount val="8"/>
                <c:pt idx="0">
                  <c:v>12</c:v>
                </c:pt>
                <c:pt idx="1">
                  <c:v>2</c:v>
                </c:pt>
                <c:pt idx="2">
                  <c:v>1</c:v>
                </c:pt>
                <c:pt idx="3">
                  <c:v>25</c:v>
                </c:pt>
                <c:pt idx="4">
                  <c:v>5</c:v>
                </c:pt>
                <c:pt idx="5">
                  <c:v>10</c:v>
                </c:pt>
                <c:pt idx="6">
                  <c:v>3</c:v>
                </c:pt>
              </c:numCache>
            </c:numRef>
          </c:val>
        </c:ser>
        <c:dLbls>
          <c:showLegendKey val="0"/>
          <c:showVal val="1"/>
          <c:showCatName val="0"/>
          <c:showSerName val="0"/>
          <c:showPercent val="0"/>
          <c:showBubbleSize val="0"/>
        </c:dLbls>
      </c:pie3DChart>
      <c:spPr>
        <a:noFill/>
        <a:ln>
          <a:noFill/>
        </a:ln>
        <a:effectLst/>
      </c:spPr>
    </c:plotArea>
    <c:plotVisOnly val="1"/>
    <c:dispBlanksAs val="gap"/>
    <c:showDLblsOverMax val="0"/>
    <c:extLst>
      <c:ext uri="{0b15fc19-7d7d-44ad-8c2d-2c3a37ce22c3}">
        <chartProps xmlns="https://web.wps.cn/et/2018/main" chartId="{df6927ce-a74a-4e7c-88c4-e1bc867d3036}"/>
      </c:ext>
    </c:extLst>
  </c:chart>
  <c:spPr>
    <a:solidFill>
      <a:schemeClr val="bg1"/>
    </a:solidFill>
    <a:ln w="6350" cap="flat" cmpd="sng" algn="ctr">
      <a:solidFill>
        <a:schemeClr val="tx1">
          <a:lumMod val="50000"/>
          <a:lumOff val="50000"/>
          <a:alpha val="25000"/>
        </a:schemeClr>
      </a:solidFill>
      <a:round/>
    </a:ln>
    <a:effectLst/>
  </c:spPr>
  <c:txPr>
    <a:bodyPr/>
    <a:lstStyle/>
    <a:p>
      <a:pPr>
        <a:defRPr lang="zh-CN" b="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3">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9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cs:styleClr val="auto"/>
    </cs:fontRef>
    <cs:defRPr sz="1000" b="1" i="0" u="none" strike="noStrike" kern="1200" spc="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styleClr val="auto"/>
    </cs:lnRef>
    <cs:fillRef idx="0">
      <cs:styleClr val="auto"/>
    </cs:fillRef>
    <cs:effectRef idx="0"/>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Company>微软中国</Company>
  <Pages>13</Pages>
  <Words>3333</Words>
  <Characters>3456</Characters>
  <Lines>20</Lines>
  <Paragraphs>5</Paragraphs>
  <TotalTime>6</TotalTime>
  <ScaleCrop>false</ScaleCrop>
  <LinksUpToDate>false</LinksUpToDate>
  <CharactersWithSpaces>3457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2021-12-20T13:58:00Z</dcterms:created>
  <dc:creator>qiyuanhua0168@163.com</dc:creator>
  <cp:lastModifiedBy>weizaihu</cp:lastModifiedBy>
  <cp:lastPrinted>2021-12-06T09:42:00Z</cp:lastPrinted>
  <dcterms:modified xsi:type="dcterms:W3CDTF">2025-01-26T07:30:01Z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0697094F010642078F0773D63C93B072_13</vt:lpwstr>
  </property>
  <property fmtid="{D5CDD505-2E9C-101B-9397-08002B2CF9AE}" pid="4" name="KSOTemplateDocerSaveRecord">
    <vt:lpwstr>eyJoZGlkIjoiY2NjZDliZDdjNzJhMWJjZjE5MjAyMGQzOWJjNjFjMGQiLCJ1c2VySWQiOiIzOTA1OTY1NTQifQ==</vt:lpwstr>
  </property>
</Properties>
</file>