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color w:val="auto"/>
          <w:sz w:val="32"/>
          <w:szCs w:val="32"/>
        </w:rPr>
      </w:pPr>
      <w:bookmarkStart w:id="0" w:name="_GoBack"/>
      <w:bookmarkEnd w:id="0"/>
      <w:r>
        <w:rPr>
          <w:rFonts w:hint="eastAsia" w:ascii="黑体" w:hAnsi="黑体" w:eastAsia="黑体" w:cs="黑体"/>
          <w:color w:val="auto"/>
          <w:sz w:val="32"/>
          <w:szCs w:val="32"/>
          <w:lang w:bidi="ar"/>
        </w:rPr>
        <w:t xml:space="preserve">附件 4 </w:t>
      </w:r>
    </w:p>
    <w:p>
      <w:pPr>
        <w:spacing w:line="560" w:lineRule="exact"/>
        <w:jc w:val="center"/>
        <w:rPr>
          <w:rFonts w:ascii="方正小标宋简体" w:hAnsi="方正小标宋简体" w:eastAsia="方正小标宋简体" w:cs="方正小标宋简体"/>
          <w:color w:val="auto"/>
          <w:sz w:val="44"/>
          <w:szCs w:val="44"/>
          <w:lang w:bidi="ar"/>
        </w:rPr>
      </w:pPr>
    </w:p>
    <w:p>
      <w:pPr>
        <w:spacing w:line="560" w:lineRule="exact"/>
        <w:jc w:val="center"/>
        <w:rPr>
          <w:rFonts w:ascii="方正小标宋简体" w:hAnsi="方正小标宋简体" w:eastAsia="方正小标宋简体" w:cs="方正小标宋简体"/>
          <w:color w:val="auto"/>
          <w:sz w:val="44"/>
          <w:szCs w:val="44"/>
          <w:lang w:bidi="ar"/>
        </w:rPr>
      </w:pPr>
      <w:r>
        <w:rPr>
          <w:rFonts w:hint="eastAsia" w:ascii="方正小标宋简体" w:hAnsi="方正小标宋简体" w:eastAsia="方正小标宋简体" w:cs="方正小标宋简体"/>
          <w:color w:val="auto"/>
          <w:sz w:val="44"/>
          <w:szCs w:val="44"/>
          <w:lang w:bidi="ar"/>
        </w:rPr>
        <w:t>关于无偿献血者免交普通门诊诊查费的</w:t>
      </w:r>
    </w:p>
    <w:p>
      <w:pPr>
        <w:spacing w:line="560" w:lineRule="exact"/>
        <w:jc w:val="center"/>
        <w:rPr>
          <w:rFonts w:ascii="方正小标宋简体" w:hAnsi="方正小标宋简体" w:eastAsia="方正小标宋简体" w:cs="方正小标宋简体"/>
          <w:color w:val="auto"/>
          <w:sz w:val="44"/>
          <w:szCs w:val="44"/>
          <w:lang w:bidi="ar"/>
        </w:rPr>
      </w:pPr>
      <w:r>
        <w:rPr>
          <w:rFonts w:hint="eastAsia" w:ascii="方正小标宋简体" w:hAnsi="方正小标宋简体" w:eastAsia="方正小标宋简体" w:cs="方正小标宋简体"/>
          <w:color w:val="auto"/>
          <w:sz w:val="44"/>
          <w:szCs w:val="44"/>
          <w:lang w:bidi="ar"/>
        </w:rPr>
        <w:t>实施方案</w:t>
      </w:r>
    </w:p>
    <w:p>
      <w:pPr>
        <w:spacing w:line="560" w:lineRule="exact"/>
        <w:rPr>
          <w:rFonts w:ascii="方正小标宋简体" w:hAnsi="方正小标宋简体" w:eastAsia="方正小标宋简体" w:cs="方正小标宋简体"/>
          <w:color w:val="auto"/>
          <w:sz w:val="44"/>
          <w:szCs w:val="44"/>
          <w:lang w:bidi="ar"/>
        </w:rPr>
      </w:pPr>
    </w:p>
    <w:p>
      <w:pPr>
        <w:adjustRightInd w:val="0"/>
        <w:snapToGrid w:val="0"/>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为贯彻落实济南市卫生健康委员会等6部门《关于落实无偿献血者“三免政策”的通知》要求，加强对无偿献血者的人文关怀，保障符合条件的人员在公立医院就医享受免交普通门诊诊查费优惠政策，现制定方案如下。</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bidi="ar"/>
        </w:rPr>
        <w:t xml:space="preserve">一、享受范围 </w:t>
      </w:r>
    </w:p>
    <w:p>
      <w:pPr>
        <w:pStyle w:val="5"/>
        <w:spacing w:line="560" w:lineRule="exact"/>
        <w:ind w:firstLine="720" w:firstLineChars="200"/>
        <w:rPr>
          <w:rFonts w:eastAsia="仿宋_GB2312"/>
          <w:color w:val="auto"/>
        </w:rPr>
      </w:pPr>
      <w:r>
        <w:rPr>
          <w:rFonts w:hint="eastAsia" w:ascii="仿宋_GB2312" w:hAnsi="仿宋_GB2312" w:eastAsia="仿宋_GB2312" w:cs="仿宋_GB2312"/>
          <w:color w:val="auto"/>
          <w:spacing w:val="20"/>
          <w:sz w:val="32"/>
          <w:szCs w:val="32"/>
          <w:lang w:bidi="ar"/>
        </w:rPr>
        <w:t>在我市获得国家无偿献血奉献奖的献血者、国家无偿献血志愿服务终身荣誉奖的志愿者、国家无偿捐献造血干细胞奖的捐献者、</w:t>
      </w:r>
      <w:r>
        <w:rPr>
          <w:rFonts w:hint="eastAsia" w:ascii="仿宋_GB2312" w:hAnsi="仿宋_GB2312" w:eastAsia="仿宋_GB2312" w:cs="仿宋_GB2312"/>
          <w:color w:val="auto"/>
          <w:sz w:val="32"/>
          <w:szCs w:val="40"/>
        </w:rPr>
        <w:t>户口在济南、长期工作生活在济南的造血干细胞捐献者、</w:t>
      </w:r>
      <w:r>
        <w:rPr>
          <w:rFonts w:hint="eastAsia" w:ascii="仿宋_GB2312" w:hAnsi="仿宋_GB2312" w:eastAsia="仿宋_GB2312" w:cs="仿宋_GB2312"/>
          <w:color w:val="auto"/>
          <w:spacing w:val="20"/>
          <w:sz w:val="32"/>
          <w:szCs w:val="32"/>
          <w:lang w:bidi="ar"/>
        </w:rPr>
        <w:t>符合申报上述奖项及条件的个人。</w:t>
      </w:r>
    </w:p>
    <w:p>
      <w:pPr>
        <w:spacing w:line="560" w:lineRule="exact"/>
        <w:ind w:firstLine="640" w:firstLineChars="200"/>
        <w:rPr>
          <w:rFonts w:ascii="黑体" w:hAnsi="黑体" w:eastAsia="黑体" w:cs="黑体"/>
          <w:color w:val="auto"/>
          <w:sz w:val="32"/>
          <w:szCs w:val="32"/>
          <w:lang w:bidi="ar"/>
        </w:rPr>
      </w:pPr>
      <w:r>
        <w:rPr>
          <w:rFonts w:hint="eastAsia" w:ascii="黑体" w:hAnsi="黑体" w:eastAsia="黑体" w:cs="黑体"/>
          <w:color w:val="auto"/>
          <w:sz w:val="32"/>
          <w:szCs w:val="32"/>
          <w:lang w:bidi="ar"/>
        </w:rPr>
        <w:t xml:space="preserve">二、免普通门诊诊查费医疗机构 </w:t>
      </w:r>
    </w:p>
    <w:p>
      <w:pPr>
        <w:adjustRightInd w:val="0"/>
        <w:snapToGrid w:val="0"/>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济南市辖区内全部公立医疗机构（见附件）和自愿加入的社会办医疗机构。</w:t>
      </w:r>
    </w:p>
    <w:p>
      <w:pPr>
        <w:spacing w:line="560" w:lineRule="exact"/>
        <w:ind w:firstLine="640" w:firstLineChars="200"/>
        <w:rPr>
          <w:rFonts w:ascii="黑体" w:hAnsi="黑体" w:eastAsia="黑体" w:cs="黑体"/>
          <w:color w:val="auto"/>
          <w:sz w:val="32"/>
          <w:szCs w:val="32"/>
          <w:lang w:bidi="ar"/>
        </w:rPr>
      </w:pPr>
      <w:r>
        <w:rPr>
          <w:rFonts w:hint="eastAsia" w:ascii="黑体" w:hAnsi="黑体" w:eastAsia="黑体" w:cs="黑体"/>
          <w:color w:val="auto"/>
          <w:sz w:val="32"/>
          <w:szCs w:val="32"/>
          <w:lang w:bidi="ar"/>
        </w:rPr>
        <w:t xml:space="preserve">三、有关要求 </w:t>
      </w:r>
    </w:p>
    <w:p>
      <w:pPr>
        <w:adjustRightInd w:val="0"/>
        <w:snapToGrid w:val="0"/>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楷体_GB2312" w:hAnsi="楷体_GB2312" w:eastAsia="楷体_GB2312" w:cs="楷体_GB2312"/>
          <w:color w:val="auto"/>
          <w:spacing w:val="20"/>
          <w:sz w:val="32"/>
          <w:szCs w:val="32"/>
          <w:lang w:bidi="ar"/>
        </w:rPr>
        <w:t>（一）提高思想认识，切实履行工作职责。</w:t>
      </w:r>
      <w:r>
        <w:rPr>
          <w:rFonts w:hint="eastAsia" w:ascii="仿宋_GB2312" w:hAnsi="仿宋_GB2312" w:eastAsia="仿宋_GB2312" w:cs="仿宋_GB2312"/>
          <w:color w:val="auto"/>
          <w:spacing w:val="20"/>
          <w:sz w:val="32"/>
          <w:szCs w:val="32"/>
          <w:lang w:bidi="ar"/>
        </w:rPr>
        <w:t>各医疗机构要高度重视，制定清晰、具体、便捷的免普通门诊诊查费流程，并在医院网站、公众号、门诊大厅等位置公示相关流程及注意事项。保证持有“山东省无偿献血荣誉乘车卡（济南）”的市民，享受免普通门诊诊查费就医的待遇。</w:t>
      </w:r>
    </w:p>
    <w:p>
      <w:pPr>
        <w:adjustRightInd w:val="0"/>
        <w:snapToGrid w:val="0"/>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楷体_GB2312" w:hAnsi="楷体_GB2312" w:eastAsia="楷体_GB2312" w:cs="楷体_GB2312"/>
          <w:color w:val="auto"/>
          <w:spacing w:val="20"/>
          <w:sz w:val="32"/>
          <w:szCs w:val="32"/>
          <w:lang w:bidi="ar"/>
        </w:rPr>
        <w:t>（二）加强监督管理，确保工作实效。</w:t>
      </w:r>
      <w:r>
        <w:rPr>
          <w:rFonts w:hint="eastAsia" w:ascii="仿宋_GB2312" w:hAnsi="仿宋_GB2312" w:eastAsia="仿宋_GB2312" w:cs="仿宋_GB2312"/>
          <w:color w:val="auto"/>
          <w:spacing w:val="20"/>
          <w:sz w:val="32"/>
          <w:szCs w:val="32"/>
          <w:lang w:bidi="ar"/>
        </w:rPr>
        <w:t xml:space="preserve">各医疗机构要加强指导和管理，指定部门及专人负责，设立投诉电话，畅通投诉渠道，及时处理相关问题，确保免交普通门诊诊查费政策落实到位。 </w:t>
      </w:r>
    </w:p>
    <w:p>
      <w:pPr>
        <w:adjustRightInd w:val="0"/>
        <w:snapToGrid w:val="0"/>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楷体_GB2312" w:hAnsi="楷体_GB2312" w:eastAsia="楷体_GB2312" w:cs="楷体_GB2312"/>
          <w:color w:val="auto"/>
          <w:spacing w:val="20"/>
          <w:sz w:val="32"/>
          <w:szCs w:val="32"/>
          <w:lang w:bidi="ar"/>
        </w:rPr>
        <w:t>（三）加强信息化建设，简化工作流程。</w:t>
      </w:r>
      <w:r>
        <w:rPr>
          <w:rFonts w:hint="eastAsia" w:ascii="仿宋_GB2312" w:hAnsi="仿宋_GB2312" w:eastAsia="仿宋_GB2312" w:cs="仿宋_GB2312"/>
          <w:color w:val="auto"/>
          <w:spacing w:val="20"/>
          <w:sz w:val="32"/>
          <w:szCs w:val="32"/>
          <w:lang w:bidi="ar"/>
        </w:rPr>
        <w:t>各医疗机构要加强信息化建设，调整完善自助挂号及网上预约挂号流程，逐步实现挂号即时免收普通门诊诊查费。</w:t>
      </w:r>
    </w:p>
    <w:p>
      <w:pPr>
        <w:spacing w:line="560" w:lineRule="exact"/>
        <w:ind w:firstLine="640" w:firstLineChars="200"/>
        <w:rPr>
          <w:rFonts w:ascii="黑体" w:hAnsi="黑体" w:eastAsia="黑体" w:cs="黑体"/>
          <w:color w:val="auto"/>
          <w:sz w:val="32"/>
          <w:szCs w:val="32"/>
          <w:lang w:bidi="ar"/>
        </w:rPr>
      </w:pPr>
      <w:r>
        <w:rPr>
          <w:rFonts w:hint="eastAsia" w:ascii="黑体" w:hAnsi="黑体" w:eastAsia="黑体" w:cs="黑体"/>
          <w:color w:val="auto"/>
          <w:sz w:val="32"/>
          <w:szCs w:val="32"/>
          <w:lang w:bidi="ar"/>
        </w:rPr>
        <w:t xml:space="preserve">四、其它 </w:t>
      </w:r>
    </w:p>
    <w:p>
      <w:pPr>
        <w:adjustRightInd w:val="0"/>
        <w:snapToGrid w:val="0"/>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 xml:space="preserve">本方案自2023年6月1日起实施。 </w:t>
      </w:r>
    </w:p>
    <w:p>
      <w:pPr>
        <w:adjustRightInd w:val="0"/>
        <w:snapToGrid w:val="0"/>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咨询电话：87085133。</w:t>
      </w:r>
    </w:p>
    <w:p>
      <w:pPr>
        <w:adjustRightInd w:val="0"/>
        <w:snapToGrid w:val="0"/>
        <w:spacing w:line="560" w:lineRule="exact"/>
        <w:ind w:firstLine="720" w:firstLineChars="200"/>
        <w:rPr>
          <w:rFonts w:ascii="仿宋_GB2312" w:hAnsi="仿宋_GB2312" w:eastAsia="仿宋_GB2312" w:cs="仿宋_GB2312"/>
          <w:color w:val="auto"/>
          <w:spacing w:val="20"/>
          <w:sz w:val="32"/>
          <w:szCs w:val="32"/>
          <w:lang w:bidi="ar"/>
        </w:rPr>
      </w:pPr>
    </w:p>
    <w:p>
      <w:pPr>
        <w:adjustRightInd w:val="0"/>
        <w:snapToGrid w:val="0"/>
        <w:spacing w:line="560" w:lineRule="exact"/>
        <w:ind w:firstLine="720" w:firstLineChars="200"/>
        <w:rPr>
          <w:rFonts w:ascii="仿宋_GB2312" w:hAnsi="仿宋_GB2312" w:eastAsia="仿宋_GB2312" w:cs="仿宋_GB2312"/>
          <w:color w:val="auto"/>
          <w:spacing w:val="20"/>
          <w:sz w:val="32"/>
          <w:szCs w:val="32"/>
          <w:lang w:bidi="ar"/>
        </w:rPr>
      </w:pPr>
      <w:r>
        <w:rPr>
          <w:rFonts w:hint="eastAsia" w:ascii="仿宋_GB2312" w:hAnsi="仿宋_GB2312" w:eastAsia="仿宋_GB2312" w:cs="仿宋_GB2312"/>
          <w:color w:val="auto"/>
          <w:spacing w:val="20"/>
          <w:sz w:val="32"/>
          <w:szCs w:val="32"/>
          <w:lang w:bidi="ar"/>
        </w:rPr>
        <w:t xml:space="preserve">附件：济南市公立医疗机构名单 </w:t>
      </w:r>
    </w:p>
    <w:p>
      <w:pPr>
        <w:spacing w:line="560" w:lineRule="exact"/>
        <w:ind w:firstLine="640" w:firstLineChars="200"/>
        <w:rPr>
          <w:rFonts w:ascii="仿宋_GB2312" w:hAnsi="仿宋_GB2312" w:eastAsia="仿宋_GB2312" w:cs="仿宋_GB2312"/>
          <w:color w:val="auto"/>
          <w:sz w:val="32"/>
          <w:szCs w:val="32"/>
          <w:lang w:bidi="ar"/>
        </w:rPr>
      </w:pPr>
    </w:p>
    <w:p>
      <w:pPr>
        <w:spacing w:line="560" w:lineRule="exact"/>
        <w:rPr>
          <w:rFonts w:ascii="仿宋_GB2312" w:hAnsi="仿宋_GB2312" w:eastAsia="仿宋_GB2312" w:cs="仿宋_GB2312"/>
          <w:color w:val="auto"/>
          <w:sz w:val="32"/>
          <w:szCs w:val="32"/>
          <w:lang w:bidi="ar"/>
        </w:rPr>
      </w:pPr>
    </w:p>
    <w:p>
      <w:pPr>
        <w:spacing w:line="560" w:lineRule="exact"/>
        <w:rPr>
          <w:rFonts w:ascii="仿宋_GB2312" w:hAnsi="仿宋_GB2312" w:eastAsia="仿宋_GB2312" w:cs="仿宋_GB2312"/>
          <w:color w:val="auto"/>
          <w:sz w:val="32"/>
          <w:szCs w:val="32"/>
        </w:rPr>
      </w:pPr>
    </w:p>
    <w:p>
      <w:pPr>
        <w:spacing w:line="560" w:lineRule="exact"/>
        <w:rPr>
          <w:rFonts w:ascii="仿宋_GB2312" w:hAnsi="仿宋_GB2312" w:eastAsia="仿宋_GB2312" w:cs="仿宋_GB2312"/>
          <w:color w:val="auto"/>
          <w:sz w:val="32"/>
          <w:szCs w:val="32"/>
        </w:rPr>
      </w:pPr>
    </w:p>
    <w:p>
      <w:pPr>
        <w:pStyle w:val="2"/>
        <w:rPr>
          <w:color w:val="auto"/>
        </w:rPr>
      </w:pPr>
    </w:p>
    <w:p>
      <w:pPr>
        <w:spacing w:line="560" w:lineRule="exact"/>
        <w:rPr>
          <w:rFonts w:ascii="仿宋_GB2312" w:hAnsi="仿宋_GB2312" w:eastAsia="仿宋_GB2312" w:cs="仿宋_GB2312"/>
          <w:color w:val="auto"/>
          <w:sz w:val="32"/>
          <w:szCs w:val="32"/>
        </w:rPr>
      </w:pPr>
    </w:p>
    <w:p>
      <w:pPr>
        <w:spacing w:line="560" w:lineRule="exact"/>
        <w:rPr>
          <w:rFonts w:ascii="仿宋_GB2312" w:hAnsi="仿宋_GB2312" w:eastAsia="仿宋_GB2312" w:cs="仿宋_GB2312"/>
          <w:color w:val="auto"/>
          <w:sz w:val="32"/>
          <w:szCs w:val="32"/>
        </w:rPr>
      </w:pPr>
    </w:p>
    <w:p>
      <w:pPr>
        <w:rPr>
          <w:rFonts w:ascii="仿宋_GB2312" w:hAnsi="仿宋_GB2312" w:eastAsia="仿宋_GB2312" w:cs="仿宋_GB2312"/>
          <w:color w:val="auto"/>
          <w:sz w:val="32"/>
          <w:szCs w:val="32"/>
        </w:rPr>
      </w:pPr>
    </w:p>
    <w:p>
      <w:pPr>
        <w:spacing w:line="560" w:lineRule="exact"/>
        <w:rPr>
          <w:rFonts w:ascii="黑体" w:hAnsi="黑体" w:eastAsia="黑体" w:cs="黑体"/>
          <w:color w:val="auto"/>
          <w:sz w:val="32"/>
          <w:szCs w:val="32"/>
          <w:lang w:bidi="ar"/>
        </w:rPr>
      </w:pPr>
      <w:r>
        <w:rPr>
          <w:rFonts w:hint="eastAsia" w:ascii="黑体" w:hAnsi="黑体" w:eastAsia="黑体" w:cs="黑体"/>
          <w:color w:val="auto"/>
          <w:sz w:val="32"/>
          <w:szCs w:val="32"/>
          <w:lang w:bidi="ar"/>
        </w:rPr>
        <w:t>附件</w:t>
      </w:r>
    </w:p>
    <w:p>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20"/>
          <w:sz w:val="44"/>
          <w:szCs w:val="44"/>
          <w:lang w:bidi="ar"/>
        </w:rPr>
        <w:t>济南市公立医疗机构名单</w:t>
      </w:r>
    </w:p>
    <w:p>
      <w:pPr>
        <w:spacing w:line="540" w:lineRule="exact"/>
        <w:ind w:firstLine="640" w:firstLineChars="200"/>
        <w:rPr>
          <w:rFonts w:ascii="黑体" w:hAnsi="黑体" w:eastAsia="黑体" w:cs="黑体"/>
          <w:color w:val="auto"/>
          <w:sz w:val="32"/>
          <w:szCs w:val="32"/>
          <w:lang w:bidi="ar"/>
        </w:rPr>
      </w:pPr>
      <w:r>
        <w:rPr>
          <w:rFonts w:hint="eastAsia" w:ascii="黑体" w:hAnsi="黑体" w:eastAsia="黑体" w:cs="黑体"/>
          <w:color w:val="auto"/>
          <w:sz w:val="32"/>
          <w:szCs w:val="32"/>
          <w:lang w:bidi="ar"/>
        </w:rPr>
        <w:t>一、省（部）属公立医疗机构（24家）</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山东大学齐鲁医院</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山东第一医科大学附属省立医院</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山东大学第二医院</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山东第一医科大学附属肿瘤医院</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山东省公共卫生临床中心</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山东省第二人民医院</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山东省口腔医院</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山东省精神卫生中心</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山东省妇幼保健院</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山东第一医科大学附属内分泌与代谢病医院</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山东省立第三医院</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山东省千佛山医院</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山东中医药大学附属医院</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山东第一医科大学附属颈肩腰腿痛医院</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山东第一医科大学第三附属医院</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山东省中西医结合医院</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山东省血友病诊疗中心</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山东第一医科大学附属皮肤病医院</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山东省眼科医院</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山东中医药大学附属眼科医院</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山东省地方病防治研究所</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山东省中医药研究院附属医院</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山东省医学影像学研究所</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山东第一医科大学附属职业病医院</w:t>
      </w:r>
    </w:p>
    <w:p>
      <w:pPr>
        <w:spacing w:line="540" w:lineRule="exact"/>
        <w:ind w:firstLine="640" w:firstLineChars="200"/>
        <w:rPr>
          <w:rFonts w:ascii="黑体" w:hAnsi="黑体" w:eastAsia="黑体" w:cs="黑体"/>
          <w:color w:val="auto"/>
          <w:sz w:val="32"/>
          <w:szCs w:val="32"/>
          <w:lang w:bidi="ar"/>
        </w:rPr>
      </w:pPr>
      <w:r>
        <w:rPr>
          <w:rFonts w:hint="eastAsia" w:ascii="黑体" w:hAnsi="黑体" w:eastAsia="黑体" w:cs="黑体"/>
          <w:color w:val="auto"/>
          <w:sz w:val="32"/>
          <w:szCs w:val="32"/>
          <w:lang w:bidi="ar"/>
        </w:rPr>
        <w:t>二、市属公立医疗机构</w:t>
      </w:r>
      <w:r>
        <w:rPr>
          <w:rFonts w:hint="eastAsia" w:ascii="黑体" w:hAnsi="黑体" w:eastAsia="黑体" w:cs="黑体"/>
          <w:color w:val="auto"/>
          <w:sz w:val="32"/>
          <w:szCs w:val="32"/>
          <w:lang w:bidi="ar"/>
        </w:rPr>
        <w:t>（3</w:t>
      </w:r>
      <w:r>
        <w:rPr>
          <w:rFonts w:ascii="黑体" w:hAnsi="黑体" w:eastAsia="黑体" w:cs="黑体"/>
          <w:color w:val="auto"/>
          <w:sz w:val="32"/>
          <w:szCs w:val="32"/>
          <w:lang w:bidi="ar"/>
        </w:rPr>
        <w:t>3</w:t>
      </w:r>
      <w:r>
        <w:rPr>
          <w:rFonts w:hint="eastAsia" w:ascii="黑体" w:hAnsi="黑体" w:eastAsia="黑体" w:cs="黑体"/>
          <w:color w:val="auto"/>
          <w:sz w:val="32"/>
          <w:szCs w:val="32"/>
          <w:lang w:bidi="ar"/>
        </w:rPr>
        <w:t>家）</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济南市中心医院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济南市人民医院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济南市第一人民医院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济南市第二人民医院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济南市第三人民医院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济南市第四人民医院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济南市第五人民医院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济南市第七人民医院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济南市第八人民医院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广安门医院济南医院（济南市中医医院）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济南市中西医结合医院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济南市妇幼保健院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济南市第二妇幼保健院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济南市儿童医院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济南市口腔医院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济南市皮肤病防治院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济南市民族医院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济南市机关医院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济南市人民政府机关门诊部</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解放军第九六〇医院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山东省荣军总医院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山东电力中心医院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山东黄河河务局山东黄河医院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山东省南山医院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山东省康复医院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山东省残疾人第一康复医院</w:t>
      </w:r>
    </w:p>
    <w:p>
      <w:pPr>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山东颐养健康集团莱芜中心医院</w:t>
      </w:r>
    </w:p>
    <w:p>
      <w:pPr>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莱钢集团莱芜矿业有限公司职工医院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济南市精神卫生中心（建设中）</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济南市急救中心</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山东省体育医院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济南市优抚医院</w:t>
      </w:r>
    </w:p>
    <w:p>
      <w:pPr>
        <w:spacing w:line="560" w:lineRule="exact"/>
        <w:ind w:firstLine="640" w:firstLineChars="200"/>
        <w:rPr>
          <w:rFonts w:ascii="方正小标宋简体" w:hAnsi="方正小标宋简体" w:eastAsia="方正小标宋简体" w:cs="方正小标宋简体"/>
          <w:color w:val="auto"/>
          <w:sz w:val="44"/>
          <w:szCs w:val="44"/>
        </w:rPr>
      </w:pPr>
      <w:r>
        <w:rPr>
          <w:rFonts w:hint="eastAsia" w:ascii="黑体" w:hAnsi="黑体" w:eastAsia="黑体" w:cs="黑体"/>
          <w:color w:val="auto"/>
          <w:sz w:val="32"/>
          <w:szCs w:val="32"/>
          <w:lang w:bidi="ar"/>
        </w:rPr>
        <w:t>三、区（县）属公立医院（23家）</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济南市历下区人民医院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济南市市中区人民医院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济南槐荫人民医院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济南市天桥人民医院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济南市第二精神卫生中心</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济南市历城区中医医院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济南市长清区人民医院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济南市长清区中医医院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济南市章丘区人民医院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济南市章丘区中医医院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济南市章丘区妇幼保健院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济南市章丘区精神卫生中心</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济南市济阳区中医医院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济南市济阳区人民医院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济南市济阳区精神卫生中心</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济南市莱芜人民医院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济南市钢城区人民医院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济南市平阴县人民医院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济南市平阴县中医医院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济南市商河县人民医院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济南市商河县中医医院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济南高新东区医院</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济南市历城区人民医院</w:t>
      </w:r>
    </w:p>
    <w:p>
      <w:pPr>
        <w:spacing w:line="560" w:lineRule="exact"/>
        <w:rPr>
          <w:rFonts w:ascii="仿宋_GB2312" w:hAnsi="仿宋_GB2312" w:eastAsia="仿宋_GB2312" w:cs="仿宋_GB2312"/>
          <w:color w:val="auto"/>
          <w:sz w:val="32"/>
          <w:szCs w:val="32"/>
        </w:rPr>
      </w:pPr>
    </w:p>
    <w:p>
      <w:pPr>
        <w:rPr>
          <w:color w:val="auto"/>
        </w:rPr>
      </w:pPr>
    </w:p>
    <w:p>
      <w:pPr>
        <w:spacing w:line="580" w:lineRule="exact"/>
        <w:rPr>
          <w:rFonts w:ascii="仿宋" w:hAnsi="仿宋" w:eastAsia="仿宋"/>
          <w:color w:val="auto"/>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13000">
    <w:altName w:val="仿宋"/>
    <w:panose1 w:val="00000000000000000000"/>
    <w:charset w:val="86"/>
    <w:family w:val="auto"/>
    <w:pitch w:val="default"/>
    <w:sig w:usb0="00000000" w:usb1="00000000" w:usb2="00000016" w:usb3="00000000" w:csb0="0004000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jZDliZDdjNzJhMWJjZjE5MjAyMGQzOWJjNjFjMGQifQ=="/>
  </w:docVars>
  <w:rsids>
    <w:rsidRoot w:val="789A4568"/>
    <w:rsid w:val="00001E25"/>
    <w:rsid w:val="000902A8"/>
    <w:rsid w:val="000A282E"/>
    <w:rsid w:val="000D6AD3"/>
    <w:rsid w:val="001378FC"/>
    <w:rsid w:val="001A7CE7"/>
    <w:rsid w:val="001C2DFD"/>
    <w:rsid w:val="003B5343"/>
    <w:rsid w:val="00606343"/>
    <w:rsid w:val="006D48DE"/>
    <w:rsid w:val="00720C18"/>
    <w:rsid w:val="008E4049"/>
    <w:rsid w:val="009A5857"/>
    <w:rsid w:val="009F57E6"/>
    <w:rsid w:val="00A02122"/>
    <w:rsid w:val="00B42633"/>
    <w:rsid w:val="00C57500"/>
    <w:rsid w:val="00DB0107"/>
    <w:rsid w:val="00E47095"/>
    <w:rsid w:val="00EB59BB"/>
    <w:rsid w:val="00F16293"/>
    <w:rsid w:val="00F21F59"/>
    <w:rsid w:val="03224E10"/>
    <w:rsid w:val="03686718"/>
    <w:rsid w:val="04091A02"/>
    <w:rsid w:val="052B2F21"/>
    <w:rsid w:val="055B0B23"/>
    <w:rsid w:val="0A466107"/>
    <w:rsid w:val="0B4765DB"/>
    <w:rsid w:val="103A7BA8"/>
    <w:rsid w:val="1F137445"/>
    <w:rsid w:val="223119FD"/>
    <w:rsid w:val="22350768"/>
    <w:rsid w:val="22884BDC"/>
    <w:rsid w:val="256372C3"/>
    <w:rsid w:val="28BA236E"/>
    <w:rsid w:val="28D70D73"/>
    <w:rsid w:val="2B920D55"/>
    <w:rsid w:val="2BC345FC"/>
    <w:rsid w:val="2BC53A8D"/>
    <w:rsid w:val="30B00B8C"/>
    <w:rsid w:val="3790262B"/>
    <w:rsid w:val="382267E5"/>
    <w:rsid w:val="3A850402"/>
    <w:rsid w:val="3F7FD997"/>
    <w:rsid w:val="404A0E8E"/>
    <w:rsid w:val="45B65648"/>
    <w:rsid w:val="47725F18"/>
    <w:rsid w:val="484B7795"/>
    <w:rsid w:val="4AD10481"/>
    <w:rsid w:val="4CD97497"/>
    <w:rsid w:val="4E121B55"/>
    <w:rsid w:val="4FBD6E83"/>
    <w:rsid w:val="53305F83"/>
    <w:rsid w:val="59BD660D"/>
    <w:rsid w:val="5ABD72ED"/>
    <w:rsid w:val="5D1F3B39"/>
    <w:rsid w:val="5DE374A7"/>
    <w:rsid w:val="61DC5090"/>
    <w:rsid w:val="6545060B"/>
    <w:rsid w:val="667D318D"/>
    <w:rsid w:val="66AD6467"/>
    <w:rsid w:val="6B2F565A"/>
    <w:rsid w:val="6B43383E"/>
    <w:rsid w:val="789A4568"/>
    <w:rsid w:val="796C21B2"/>
    <w:rsid w:val="7AA14E87"/>
    <w:rsid w:val="7AA63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Hyperlink"/>
    <w:basedOn w:val="7"/>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淘宝店 紫萱科技97</Company>
  <Pages>15</Pages>
  <Words>4340</Words>
  <Characters>4397</Characters>
  <Lines>3</Lines>
  <Paragraphs>11</Paragraphs>
  <TotalTime>8</TotalTime>
  <ScaleCrop>false</ScaleCrop>
  <LinksUpToDate>false</LinksUpToDate>
  <CharactersWithSpaces>4408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2023-05-31T01:54:00Z</dcterms:created>
  <dc:creator>暖，深秋</dc:creator>
  <cp:lastModifiedBy>weizaihu</cp:lastModifiedBy>
  <cp:lastPrinted>2023-05-25T02:18:00Z</cp:lastPrinted>
  <dcterms:modified xsi:type="dcterms:W3CDTF">2023-06-01T09:32:45Z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0C85E235CCFE44888380FA7DFD862A6B_13</vt:lpwstr>
  </property>
</Properties>
</file>