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color w:val="000000"/>
          <w:szCs w:val="32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宋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kern w:val="0"/>
          <w:sz w:val="44"/>
          <w:szCs w:val="44"/>
        </w:rPr>
        <w:t>山东省村卫生室省级示范标准</w:t>
      </w:r>
    </w:p>
    <w:tbl>
      <w:tblPr>
        <w:tblStyle w:val="5"/>
        <w:tblW w:w="91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7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一、规划设置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1.设置合理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符合当地区域卫生规划、医疗机构设置规划和新农村建设规划，服务人口不少于2000人。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2.建设条件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位于交通便利、人口相对集中处，由村集体无偿提供土地，选址与村党群服务中心、村级养老服务机构、残疾人康复机构等相结合，房屋产权公有，无偿提供使用，实现通水、通电、通网络。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3.命名规范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按照“乡镇（涉农街道）名＋行政村名＋村卫生室”统一规则命名，与医疗机构执业许可证（唯一名称）一致。按照统一建设标准，统一标识标牌制作（包括规格、字体、颜色等），室内外统一着色，统一宣传栏、公示栏制作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二、房屋基础建设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4.房屋设计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房屋建筑面积根据服务人口、服务功能确定。墙面、顶棚平整整洁，室内地面硬化，门窗密封良好。治疗室面积不低于10平方米，内墙壁贴瓷砖，高度不低于1.5米，配有洗涤池及上下水系统。院内道路硬化，外墙装饰美观。整体环境温馨，整洁美观、安静独立、标识清晰。新建或改扩建的村卫生室按照统一建筑图纸建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5.基础设施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无障碍设施完善，配备必要的清洁取暖、降温除湿等设施，配备数字监控、烟雾报警器、应急照明、紫外线消毒灯等设施，符合消防安全要求。选择耐腐蚀、冲洗效果好、不易有污物残留的卫生洁具、洗涤池及配件，洗手池处安装非接触或非手动开关。设有无害化卫生厕所，马桶冲水设备设置成感应式或脚踏式开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6.布局合理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诊断室、治疗室、观察室、药房、康复室、健康教育和公共卫生室等分室设置，布局合理。有条件的可设置值班室、健康自检室等。诊断室数量与医生人数匹配，候诊区设置合理。观察室设有观察窗（能清晰了解观察室内情况），具备通风条件。各室布局合理，符合感染管理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三、设备配置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7.设备养护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根据服务人口数量和医疗功能定位，基本设备配备齐全（附后）。医疗设备专人管理，严格按照规定要求进行定期强检，定期保养，及时维修，适时更新，确保其使用情况良好。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8.诊断室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配置诊查床、诊桌椅、资料柜、体温计、听诊器、压舌板、手电筒、血压计、血糖仪、壁挂式全科诊断仪、身高体重计、视力表灯箱等。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9.治疗室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备治疗（处置）台、物品（药品）柜、无菌柜、冷藏包（箱）、出诊箱、急救箱（急救药品不得少于12种）、治疗盘、有盖方盘、利器盒、地站灯、必要抢救器材（如氧气袋、氧气瓶、开口器、简易呼吸器、吸痰器等）、高压消毒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10.观察室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配备必要的观察床（椅），选配呼叫系统。经县级卫生健康行政部门核准开展静脉给药服务项目的，可依需要配备输液床（椅）。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11.药房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配备药品柜（包括西药柜、中药柜等）和满足药品储存不同温度要求的冷藏柜等。有避光、通风、防鼠、防尘、防潮、防霉等设施（如除湿机或排风扇等）。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12.康复室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根据开展业务需要配备运动治疗和物理因子治疗康复器具。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13.健康教育和公共卫生室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配有健康档案柜、基本健康教育书籍及相关设备（如电视、电脑、打印机、照相机、投影仪等）。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14.健康自检室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配备相应健康自检设备。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15.信息设施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开通宽带，配备至少2台电脑及其他必要的信息设备，设备硬件条件能满足日常信息化管理和远程医疗要求。规范建立基本医疗服务、家庭医生签约服务、基本公共卫生服务、城乡居民基本医疗保险、基本药物制度、远程医疗、远程培训、绩效考核、慢病管理等信息系统，与区域卫生信息平台实现互联互通，信息共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四、人员配备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16.资质条件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按照服务人口1.2-1.5‰比例配备工作人员，至少配备2名执业范围为全科医学专业的临床类别、中医类别执业（助理）医师或乡村全科助理医师，至少有1名能够提供中医药服务的执业（助理）医师，至少配备1名护士。工作人员中至少有一名女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17.技能培训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按规定开展村卫生室人员培训。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五、服务功能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18.基本功能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能够为辖区居民提供基本医疗、基本公共卫生和健康管理等服务。承担的基本公共卫生服务项目任务不低于国家标准。对设置的村卫生室服务点定期巡诊。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19.签约服务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参与家庭医生签约服务，按照服务协议履约</w:t>
            </w:r>
            <w:r>
              <w:rPr>
                <w:rFonts w:hint="eastAsia" w:ascii="宋体" w:hAnsi="宋体" w:eastAsia="仿宋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20.药事服务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执行基本药物制度，实行药品零差率销售；药品种类满足居民就诊需要。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21.中医药服务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设中医诊室，能够提供4种以上中医药适宜技术服务（如中药饮片、针灸、推拿、火罐、敷贴、刮痧、熏洗、耳压等），配备中医电疗和磁疗设备等中医诊疗设施。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22.康复、养老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有条件的，可探索与村级养老服务、残疾人康复等机构的融合发展。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六、业务管理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23.制度健全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严格执行诊疗规范、操作规程等技术规范，加强医疗质量与安全管理，严格执行医疗质量管理、医疗安全、人员岗位责任、定期在岗培训、门诊登记、法定传染病疫情报告、食源性疾病或疑似病例信息报告、医疗废物管理、医源性感染管理、免疫规划工作管理、严重精神障碍患者服务管理、妇幼保健工作管理以及财务、药品、档案、信息管理等有关规章制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24.业务管理与质量控制</w:t>
            </w:r>
          </w:p>
        </w:tc>
        <w:tc>
          <w:tcPr>
            <w:tcW w:w="7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加强业务管理与质量控制，完善日常诊疗与诊间随访、诊间签约服务的有效衔接，建立远端穿戴设备与基本公共卫生服务信息系统互联互通，充分利用信息化协助村民做好预约诊疗、转诊、远程医疗等工作。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25.科普宣传</w:t>
            </w:r>
          </w:p>
        </w:tc>
        <w:tc>
          <w:tcPr>
            <w:tcW w:w="7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在醒目处张贴农药中毒、心肺复苏和药物过敏反应等常见的急诊急救操作规程。在恰当位置摆放健康教育宣传资料，张贴统一、规范的健康教育宣传挂图。可在候诊区、观察室等处安装电视，播放健康教育视频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26.服务公开</w:t>
            </w:r>
          </w:p>
        </w:tc>
        <w:tc>
          <w:tcPr>
            <w:tcW w:w="7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机构、人员信息、医疗服务和药品收费项目及价格公开上墙，收费有单据，账目有记录，支出有凭证。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27.医疗废物等处置</w:t>
            </w:r>
          </w:p>
        </w:tc>
        <w:tc>
          <w:tcPr>
            <w:tcW w:w="7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严格执行《医疗废物管理条例》相关规定，医疗废物等按照规范要求进行统一收集、贮存、运送，实现集中无害化处置。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28.业务指标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诊疗人次/辖区居民≥3，输液率≤25%，抗菌药物处方比例≤20%，处方合格率≥98%，中医药处方比例≥25%。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29.公卫达标情况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基本公共卫生服务项目完成情况达到规定要求。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七、运行机制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30.聘管考核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实行乡村一体化管理，与乡镇卫生院合为一体，委同一法人，实现行政、业务、人员、药械、财务、绩效考核“六统一”为主要内容的乡村一体化管理模式。村卫生室人员由乡镇卫生院聘任，工资待遇不低于同等条件人员的平均水平，并对在村卫生室工作的执业（助理）医师给予倾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31.采购配发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药品、医疗器械、医用耗材、办公用品等由乡镇卫生院统一采购配发，统一票据和处方笺。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32.医保结算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开通医保联网结算，有效落实一般诊疗费政策，严格执行居民医保政策，实现网络即时结报。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33.养老保障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按照《山东省加强基层卫生人才队伍建设的若干措施》落实村卫生室在岗人员养老保障政策。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宋体" w:hAnsi="宋体"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黑体"/>
                <w:color w:val="000000"/>
                <w:kern w:val="0"/>
                <w:sz w:val="26"/>
                <w:szCs w:val="26"/>
              </w:rPr>
              <w:t>八、服务绩效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34.医疗责任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近三年无负主要责任（或60%以上过错参与度）的医疗事故或医疗纠纷发生，无超范围行医、违反医保管理制度等行为。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8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35.居民满意度</w:t>
            </w:r>
          </w:p>
        </w:tc>
        <w:tc>
          <w:tcPr>
            <w:tcW w:w="7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宋体" w:hAnsi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color w:val="000000"/>
                <w:kern w:val="0"/>
                <w:sz w:val="26"/>
                <w:szCs w:val="26"/>
              </w:rPr>
              <w:t>本村居民满意度≥90%。</w:t>
            </w:r>
          </w:p>
        </w:tc>
      </w:tr>
    </w:tbl>
    <w:p>
      <w:pPr>
        <w:rPr>
          <w:rFonts w:ascii="宋体" w:hAnsi="宋体"/>
        </w:rPr>
      </w:pPr>
    </w:p>
    <w:sectPr>
      <w:footerReference r:id="rId3" w:type="default"/>
      <w:footerReference r:id="rId4" w:type="even"/>
      <w:pgSz w:w="11906" w:h="16838"/>
      <w:pgMar w:top="1440" w:right="1588" w:bottom="1588" w:left="1588" w:header="851" w:footer="992" w:gutter="0"/>
      <w:cols w:space="425" w:num="1"/>
      <w:docGrid w:type="linesAndChars" w:linePitch="627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80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 w:cstheme="majorBidi"/>
        <w:sz w:val="28"/>
        <w:szCs w:val="28"/>
        <w:lang w:val="zh-CN"/>
      </w:rPr>
      <w:t xml:space="preserve">— </w:t>
    </w:r>
    <w:r>
      <w:rPr>
        <w:rFonts w:ascii="宋体" w:hAnsi="宋体" w:eastAsia="宋体" w:cstheme="minorBidi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 \* MERGEFORMAT</w:instrText>
    </w:r>
    <w:r>
      <w:rPr>
        <w:rFonts w:ascii="宋体" w:hAnsi="宋体" w:eastAsia="宋体" w:cstheme="minorBidi"/>
        <w:sz w:val="28"/>
        <w:szCs w:val="28"/>
      </w:rPr>
      <w:fldChar w:fldCharType="separate"/>
    </w:r>
    <w:r>
      <w:rPr>
        <w:rFonts w:ascii="宋体" w:hAnsi="宋体" w:eastAsia="宋体" w:cstheme="majorBidi"/>
        <w:sz w:val="28"/>
        <w:szCs w:val="28"/>
        <w:lang w:val="zh-CN"/>
      </w:rPr>
      <w:t>3</w:t>
    </w:r>
    <w:r>
      <w:rPr>
        <w:rFonts w:ascii="宋体" w:hAnsi="宋体" w:eastAsia="宋体" w:cstheme="majorBidi"/>
        <w:sz w:val="28"/>
        <w:szCs w:val="28"/>
      </w:rPr>
      <w:fldChar w:fldCharType="end"/>
    </w:r>
    <w:r>
      <w:rPr>
        <w:rFonts w:ascii="宋体" w:hAnsi="宋体" w:eastAsia="宋体" w:cstheme="majorBidi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0" w:firstLineChars="100"/>
      <w:rPr>
        <w:rFonts w:ascii="宋体" w:hAnsi="宋体" w:eastAsia="宋体"/>
        <w:sz w:val="28"/>
        <w:szCs w:val="28"/>
      </w:rPr>
    </w:pPr>
    <w:r>
      <w:rPr>
        <w:rFonts w:ascii="宋体" w:hAnsi="宋体" w:eastAsia="宋体" w:cstheme="majorBidi"/>
        <w:sz w:val="28"/>
        <w:szCs w:val="28"/>
        <w:lang w:val="zh-CN"/>
      </w:rPr>
      <w:t xml:space="preserve">— </w:t>
    </w:r>
    <w:r>
      <w:rPr>
        <w:rFonts w:ascii="宋体" w:hAnsi="宋体" w:eastAsia="宋体" w:cstheme="minorBidi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 \* MERGEFORMAT</w:instrText>
    </w:r>
    <w:r>
      <w:rPr>
        <w:rFonts w:ascii="宋体" w:hAnsi="宋体" w:eastAsia="宋体" w:cstheme="minorBidi"/>
        <w:sz w:val="28"/>
        <w:szCs w:val="28"/>
      </w:rPr>
      <w:fldChar w:fldCharType="separate"/>
    </w:r>
    <w:r>
      <w:rPr>
        <w:rFonts w:ascii="宋体" w:hAnsi="宋体" w:eastAsia="宋体" w:cstheme="majorBidi"/>
        <w:sz w:val="28"/>
        <w:szCs w:val="28"/>
        <w:lang w:val="zh-CN"/>
      </w:rPr>
      <w:t>4</w:t>
    </w:r>
    <w:r>
      <w:rPr>
        <w:rFonts w:ascii="宋体" w:hAnsi="宋体" w:eastAsia="宋体" w:cstheme="majorBidi"/>
        <w:sz w:val="28"/>
        <w:szCs w:val="28"/>
      </w:rPr>
      <w:fldChar w:fldCharType="end"/>
    </w:r>
    <w:r>
      <w:rPr>
        <w:rFonts w:ascii="宋体" w:hAnsi="宋体" w:eastAsia="宋体" w:cstheme="majorBidi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56"/>
  <w:drawingGridVerticalSpacing w:val="6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99"/>
    <w:rsid w:val="00022671"/>
    <w:rsid w:val="00056EE2"/>
    <w:rsid w:val="00061AAB"/>
    <w:rsid w:val="000A0D7F"/>
    <w:rsid w:val="000A1DA0"/>
    <w:rsid w:val="000A7149"/>
    <w:rsid w:val="000B0867"/>
    <w:rsid w:val="00126C6B"/>
    <w:rsid w:val="00162D0A"/>
    <w:rsid w:val="00177045"/>
    <w:rsid w:val="001B14B0"/>
    <w:rsid w:val="001E76C0"/>
    <w:rsid w:val="001F0788"/>
    <w:rsid w:val="00204748"/>
    <w:rsid w:val="002550D9"/>
    <w:rsid w:val="00281E9A"/>
    <w:rsid w:val="0029599F"/>
    <w:rsid w:val="002A7DCE"/>
    <w:rsid w:val="003053E7"/>
    <w:rsid w:val="00305C0E"/>
    <w:rsid w:val="003471A2"/>
    <w:rsid w:val="00357B09"/>
    <w:rsid w:val="003B1A48"/>
    <w:rsid w:val="003F7D82"/>
    <w:rsid w:val="004141F4"/>
    <w:rsid w:val="00414706"/>
    <w:rsid w:val="00415009"/>
    <w:rsid w:val="004552A3"/>
    <w:rsid w:val="0047018A"/>
    <w:rsid w:val="00491F7A"/>
    <w:rsid w:val="004C49AA"/>
    <w:rsid w:val="004D17FE"/>
    <w:rsid w:val="004E6F28"/>
    <w:rsid w:val="005272F8"/>
    <w:rsid w:val="00544DF5"/>
    <w:rsid w:val="00550554"/>
    <w:rsid w:val="00551954"/>
    <w:rsid w:val="005975CA"/>
    <w:rsid w:val="005D53E2"/>
    <w:rsid w:val="00657A73"/>
    <w:rsid w:val="006857A0"/>
    <w:rsid w:val="006D3409"/>
    <w:rsid w:val="006E64C5"/>
    <w:rsid w:val="006E7D18"/>
    <w:rsid w:val="00704CE1"/>
    <w:rsid w:val="007208E9"/>
    <w:rsid w:val="00761955"/>
    <w:rsid w:val="00804412"/>
    <w:rsid w:val="00843E70"/>
    <w:rsid w:val="00871499"/>
    <w:rsid w:val="00893D9F"/>
    <w:rsid w:val="008A39D1"/>
    <w:rsid w:val="008E223F"/>
    <w:rsid w:val="009444A1"/>
    <w:rsid w:val="00947D2E"/>
    <w:rsid w:val="009770C3"/>
    <w:rsid w:val="0099044D"/>
    <w:rsid w:val="00994919"/>
    <w:rsid w:val="009D4826"/>
    <w:rsid w:val="00A422F0"/>
    <w:rsid w:val="00A6103B"/>
    <w:rsid w:val="00AD16B8"/>
    <w:rsid w:val="00AE4A46"/>
    <w:rsid w:val="00B25F4D"/>
    <w:rsid w:val="00BA2CA6"/>
    <w:rsid w:val="00C23783"/>
    <w:rsid w:val="00C348B9"/>
    <w:rsid w:val="00C576E8"/>
    <w:rsid w:val="00C631C4"/>
    <w:rsid w:val="00C85F55"/>
    <w:rsid w:val="00C912E3"/>
    <w:rsid w:val="00CA6803"/>
    <w:rsid w:val="00CE534A"/>
    <w:rsid w:val="00D05C5A"/>
    <w:rsid w:val="00D249CF"/>
    <w:rsid w:val="00DD7B36"/>
    <w:rsid w:val="00EB3101"/>
    <w:rsid w:val="00ED70EE"/>
    <w:rsid w:val="00F45DC8"/>
    <w:rsid w:val="00F73100"/>
    <w:rsid w:val="00F915B7"/>
    <w:rsid w:val="00FB1319"/>
    <w:rsid w:val="00FB575D"/>
    <w:rsid w:val="141A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425</Words>
  <Characters>2425</Characters>
  <Lines>20</Lines>
  <Paragraphs>5</Paragraphs>
  <TotalTime>3</TotalTime>
  <ScaleCrop>false</ScaleCrop>
  <LinksUpToDate>false</LinksUpToDate>
  <CharactersWithSpaces>2845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2020-07-19T00:03:00Z</dcterms:created>
  <dc:creator>306</dc:creator>
  <cp:lastModifiedBy>wjw</cp:lastModifiedBy>
  <cp:lastPrinted>2020-07-19T01:48:00Z</cp:lastPrinted>
  <dcterms:modified xsi:type="dcterms:W3CDTF">2020-07-19T06:54:38Z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