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shd w:val="clear" w:color="auto" w:fill="FFFFFF"/>
        <w:spacing w:beforeAutospacing="0" w:afterAutospacing="0"/>
        <w:jc w:val="center"/>
        <w:rPr>
          <w:rFonts w:ascii="方正小标宋简体" w:hAnsi="方正小标宋简体" w:eastAsia="方正小标宋简体" w:cs="方正小标宋简体"/>
          <w:b/>
          <w:color w:val="auto"/>
          <w:sz w:val="36"/>
          <w:szCs w:val="36"/>
          <w:shd w:val="clear" w:color="auto" w:fill="FFFFFF"/>
        </w:rPr>
      </w:pPr>
    </w:p>
    <w:p>
      <w:pPr>
        <w:pStyle w:val="5"/>
        <w:widowControl/>
        <w:shd w:val="clear" w:color="auto" w:fill="FFFFFF"/>
        <w:spacing w:beforeAutospacing="0" w:afterAutospacing="0"/>
        <w:jc w:val="center"/>
        <w:rPr>
          <w:rFonts w:ascii="方正小标宋简体" w:hAnsi="方正小标宋简体" w:eastAsia="方正小标宋简体" w:cs="方正小标宋简体"/>
          <w:b/>
          <w:color w:val="auto"/>
          <w:sz w:val="36"/>
          <w:szCs w:val="36"/>
          <w:shd w:val="clear" w:color="auto" w:fill="FFFFFF"/>
        </w:rPr>
      </w:pPr>
    </w:p>
    <w:p>
      <w:pPr>
        <w:pStyle w:val="5"/>
        <w:widowControl/>
        <w:shd w:val="clear" w:color="auto" w:fill="FFFFFF"/>
        <w:spacing w:beforeAutospacing="0" w:afterAutospacing="0"/>
        <w:jc w:val="center"/>
        <w:rPr>
          <w:rFonts w:hint="eastAsia" w:ascii="方正小标宋简体" w:hAnsi="方正小标宋简体" w:eastAsia="方正小标宋简体" w:cs="方正小标宋简体"/>
          <w:b/>
          <w:color w:val="auto"/>
          <w:sz w:val="36"/>
          <w:szCs w:val="36"/>
          <w:shd w:val="clear" w:color="auto" w:fill="FFFFFF"/>
        </w:rPr>
      </w:pPr>
    </w:p>
    <w:p>
      <w:pPr>
        <w:pStyle w:val="5"/>
        <w:widowControl/>
        <w:shd w:val="clear" w:color="auto" w:fill="FFFFFF"/>
        <w:snapToGrid w:val="0"/>
        <w:spacing w:beforeAutospacing="0" w:afterAutospacing="0"/>
        <w:jc w:val="center"/>
        <w:rPr>
          <w:rFonts w:ascii="方正小标宋简体" w:hAnsi="方正小标宋简体" w:eastAsia="方正小标宋简体" w:cs="方正小标宋简体"/>
          <w:color w:val="auto"/>
          <w:sz w:val="44"/>
          <w:szCs w:val="44"/>
          <w:shd w:val="clear" w:color="auto" w:fill="FFFFFF"/>
        </w:rPr>
      </w:pPr>
      <w:r>
        <w:rPr>
          <w:rFonts w:hint="eastAsia" w:ascii="方正小标宋简体" w:hAnsi="方正小标宋简体" w:eastAsia="方正小标宋简体" w:cs="方正小标宋简体"/>
          <w:color w:val="auto"/>
          <w:sz w:val="44"/>
          <w:szCs w:val="44"/>
          <w:shd w:val="clear" w:color="auto" w:fill="FFFFFF"/>
        </w:rPr>
        <w:t>济南市卫生健康委员会</w:t>
      </w:r>
    </w:p>
    <w:p>
      <w:pPr>
        <w:pStyle w:val="5"/>
        <w:widowControl/>
        <w:shd w:val="clear" w:color="auto" w:fill="FFFFFF"/>
        <w:snapToGrid w:val="0"/>
        <w:spacing w:beforeAutospacing="0" w:afterAutospacing="0"/>
        <w:jc w:val="center"/>
        <w:rPr>
          <w:rFonts w:ascii="方正小标宋简体" w:hAnsi="方正小标宋简体" w:eastAsia="方正小标宋简体" w:cs="方正小标宋简体"/>
          <w:color w:val="auto"/>
          <w:sz w:val="44"/>
          <w:szCs w:val="44"/>
          <w:shd w:val="clear" w:color="auto" w:fill="FFFFFF"/>
        </w:rPr>
      </w:pPr>
      <w:r>
        <w:rPr>
          <w:rFonts w:hint="eastAsia" w:ascii="方正小标宋简体" w:hAnsi="方正小标宋简体" w:eastAsia="方正小标宋简体" w:cs="方正小标宋简体"/>
          <w:color w:val="auto"/>
          <w:sz w:val="44"/>
          <w:szCs w:val="44"/>
          <w:shd w:val="clear" w:color="auto" w:fill="FFFFFF"/>
        </w:rPr>
        <w:t>2020年政府信息公开工作年度报告</w:t>
      </w:r>
    </w:p>
    <w:p>
      <w:pPr>
        <w:spacing w:line="560" w:lineRule="exact"/>
        <w:jc w:val="center"/>
        <w:rPr>
          <w:rFonts w:ascii="楷体_GB2312" w:eastAsia="楷体_GB2312"/>
          <w:color w:val="auto"/>
          <w:sz w:val="32"/>
          <w:szCs w:val="32"/>
        </w:rPr>
      </w:pPr>
    </w:p>
    <w:p>
      <w:pPr>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2020</w:t>
      </w:r>
      <w:r>
        <w:rPr>
          <w:rFonts w:hint="eastAsia" w:ascii="仿宋_GB2312" w:eastAsia="仿宋_GB2312"/>
          <w:color w:val="auto"/>
          <w:sz w:val="32"/>
          <w:szCs w:val="32"/>
        </w:rPr>
        <w:t>年，市卫生健康委坚持以习近平新时代中国特色社会主义思想为指导，深入学习贯彻党的十九大和十九届二中、三中、四中、五中全会精神，根据《中华人民共和国政府信息公开条例》和市政府办公厅有关要求，</w:t>
      </w:r>
      <w:bookmarkStart w:id="0" w:name="_Hlk62158572"/>
      <w:r>
        <w:rPr>
          <w:rFonts w:hint="eastAsia" w:ascii="仿宋_GB2312" w:eastAsia="仿宋_GB2312"/>
          <w:color w:val="auto"/>
          <w:sz w:val="32"/>
          <w:szCs w:val="32"/>
        </w:rPr>
        <w:t>坚持“以公开为常态、不公开为例外”原则，统筹新冠肺炎疫情防控和卫生健康工作发展，不断创新工作方法和公开方式，加大政府信息公开力度，推进决策、执行、管理、服务、结果“五公开”</w:t>
      </w:r>
      <w:bookmarkEnd w:id="0"/>
      <w:r>
        <w:rPr>
          <w:rFonts w:hint="eastAsia" w:ascii="仿宋_GB2312" w:eastAsia="仿宋_GB2312"/>
          <w:color w:val="auto"/>
          <w:sz w:val="32"/>
          <w:szCs w:val="32"/>
        </w:rPr>
        <w:t>，服务大众，服务民生，不断提高卫生健康政务服务水平，促进卫生健康事业高质量发展，为“康养济南”建设做出了积极贡献。</w:t>
      </w:r>
    </w:p>
    <w:p>
      <w:pPr>
        <w:pStyle w:val="5"/>
        <w:widowControl/>
        <w:shd w:val="clear" w:color="auto" w:fill="FFFFFF"/>
        <w:spacing w:beforeAutospacing="0" w:afterAutospacing="0" w:line="560" w:lineRule="exact"/>
        <w:ind w:firstLine="640"/>
        <w:jc w:val="both"/>
        <w:rPr>
          <w:rFonts w:ascii="黑体" w:hAnsi="黑体" w:eastAsia="黑体" w:cs="黑体"/>
          <w:color w:val="auto"/>
          <w:sz w:val="32"/>
          <w:szCs w:val="32"/>
        </w:rPr>
      </w:pPr>
      <w:r>
        <w:rPr>
          <w:rFonts w:hint="eastAsia" w:ascii="黑体" w:hAnsi="黑体" w:eastAsia="黑体" w:cs="黑体"/>
          <w:color w:val="auto"/>
          <w:sz w:val="32"/>
          <w:szCs w:val="32"/>
          <w:shd w:val="clear" w:color="auto" w:fill="FFFFFF"/>
        </w:rPr>
        <w:t>一、总体情况</w:t>
      </w:r>
    </w:p>
    <w:p>
      <w:pPr>
        <w:spacing w:line="560" w:lineRule="exact"/>
        <w:ind w:firstLine="640" w:firstLineChars="200"/>
        <w:rPr>
          <w:rFonts w:ascii="仿宋_GB2312" w:eastAsia="仿宋_GB2312"/>
          <w:color w:val="auto"/>
          <w:sz w:val="32"/>
          <w:szCs w:val="32"/>
        </w:rPr>
      </w:pPr>
      <w:r>
        <w:rPr>
          <w:rFonts w:hint="eastAsia" w:ascii="楷体_GB2312" w:hAnsi="黑体" w:eastAsia="楷体_GB2312"/>
          <w:color w:val="auto"/>
          <w:sz w:val="32"/>
          <w:szCs w:val="32"/>
        </w:rPr>
        <w:t>（一）健全组织机构。</w:t>
      </w:r>
      <w:r>
        <w:rPr>
          <w:rFonts w:hint="eastAsia" w:ascii="仿宋_GB2312" w:eastAsia="仿宋_GB2312"/>
          <w:color w:val="auto"/>
          <w:sz w:val="32"/>
          <w:szCs w:val="32"/>
        </w:rPr>
        <w:t>结合职能转变、人员变动和工作需要，及时调整政务公开领导小组，印发《济南市卫生健康委员会关于调整政务公开工作领导小组组成人员的通知》（济卫办发〔2</w:t>
      </w:r>
      <w:r>
        <w:rPr>
          <w:rFonts w:ascii="仿宋_GB2312" w:eastAsia="仿宋_GB2312"/>
          <w:color w:val="auto"/>
          <w:sz w:val="32"/>
          <w:szCs w:val="32"/>
        </w:rPr>
        <w:t>020</w:t>
      </w:r>
      <w:r>
        <w:rPr>
          <w:rFonts w:hint="eastAsia" w:ascii="仿宋_GB2312" w:eastAsia="仿宋_GB2312"/>
          <w:color w:val="auto"/>
          <w:sz w:val="32"/>
          <w:szCs w:val="32"/>
        </w:rPr>
        <w:t>〕1</w:t>
      </w:r>
      <w:r>
        <w:rPr>
          <w:rFonts w:ascii="仿宋_GB2312" w:eastAsia="仿宋_GB2312"/>
          <w:color w:val="auto"/>
          <w:sz w:val="32"/>
          <w:szCs w:val="32"/>
        </w:rPr>
        <w:t>2</w:t>
      </w:r>
      <w:r>
        <w:rPr>
          <w:rFonts w:hint="eastAsia" w:ascii="仿宋_GB2312" w:eastAsia="仿宋_GB2312"/>
          <w:color w:val="auto"/>
          <w:sz w:val="32"/>
          <w:szCs w:val="32"/>
        </w:rPr>
        <w:t>号），由委党组书记、主任任组长，其他班子成员任副组长，各相关处室负责人为成员。领导小组办公室设在办公室，办公室具体负责全</w:t>
      </w:r>
      <w:r>
        <w:rPr>
          <w:rFonts w:hint="eastAsia" w:ascii="仿宋_GB2312" w:eastAsia="仿宋_GB2312"/>
          <w:color w:val="auto"/>
          <w:sz w:val="32"/>
          <w:szCs w:val="32"/>
          <w:lang w:eastAsia="zh-CN"/>
        </w:rPr>
        <w:t>委</w:t>
      </w:r>
      <w:r>
        <w:rPr>
          <w:rFonts w:hint="eastAsia" w:ascii="仿宋_GB2312" w:eastAsia="仿宋_GB2312"/>
          <w:color w:val="auto"/>
          <w:sz w:val="32"/>
          <w:szCs w:val="32"/>
        </w:rPr>
        <w:t>政务公开的组织、协调、督促和检查工作，并指定专人负责政务信息公开工作的日常事务，及时会同相关处室信息员共同做好政务信息</w:t>
      </w:r>
      <w:r>
        <w:rPr>
          <w:rFonts w:hint="eastAsia" w:ascii="仿宋_GB2312" w:eastAsia="仿宋_GB2312"/>
          <w:color w:val="auto"/>
          <w:sz w:val="32"/>
          <w:szCs w:val="32"/>
          <w:lang w:eastAsia="zh-CN"/>
        </w:rPr>
        <w:t>公开</w:t>
      </w:r>
      <w:r>
        <w:rPr>
          <w:rFonts w:hint="eastAsia" w:ascii="仿宋_GB2312" w:eastAsia="仿宋_GB2312"/>
          <w:color w:val="auto"/>
          <w:sz w:val="32"/>
          <w:szCs w:val="32"/>
        </w:rPr>
        <w:t>工作。</w:t>
      </w:r>
    </w:p>
    <w:p>
      <w:pPr>
        <w:rPr>
          <w:rFonts w:ascii="仿宋_GB2312" w:eastAsia="仿宋_GB2312"/>
          <w:color w:val="auto"/>
          <w:sz w:val="32"/>
          <w:szCs w:val="32"/>
        </w:rPr>
      </w:pPr>
      <w:r>
        <w:rPr>
          <w:color w:val="auto"/>
        </w:rPr>
        <w:drawing>
          <wp:inline distT="0" distB="0" distL="0" distR="0">
            <wp:extent cx="5233035" cy="252222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81099" cy="2545386"/>
                    </a:xfrm>
                    <a:prstGeom prst="rect">
                      <a:avLst/>
                    </a:prstGeom>
                    <a:noFill/>
                    <a:ln>
                      <a:noFill/>
                    </a:ln>
                  </pic:spPr>
                </pic:pic>
              </a:graphicData>
            </a:graphic>
          </wp:inline>
        </w:drawing>
      </w:r>
    </w:p>
    <w:p>
      <w:pPr>
        <w:spacing w:line="560" w:lineRule="exact"/>
        <w:ind w:firstLine="640" w:firstLineChars="200"/>
        <w:rPr>
          <w:rFonts w:ascii="仿宋_GB2312" w:eastAsia="仿宋_GB2312"/>
          <w:color w:val="auto"/>
          <w:sz w:val="32"/>
          <w:szCs w:val="32"/>
        </w:rPr>
      </w:pPr>
      <w:r>
        <w:rPr>
          <w:rFonts w:hint="eastAsia" w:ascii="楷体_GB2312" w:eastAsia="楷体_GB2312"/>
          <w:color w:val="auto"/>
          <w:sz w:val="32"/>
          <w:szCs w:val="32"/>
        </w:rPr>
        <w:t>（二）完善工作机制</w:t>
      </w:r>
      <w:r>
        <w:rPr>
          <w:rFonts w:hint="eastAsia" w:ascii="仿宋_GB2312" w:eastAsia="仿宋_GB2312"/>
          <w:color w:val="auto"/>
          <w:sz w:val="32"/>
          <w:szCs w:val="32"/>
        </w:rPr>
        <w:t>。制发《2020年卫生健康系统政务公开工作要点》，明确年度政务公开主要内容和保障措施。修订完善《济南市卫生健康委政务信息公开制度》，按照《济南市卫生健康委政务信息公开目录》，明确了政务公开的主体、内容、标准、方式、程序，推动政务公开贯穿权力运行、政务服务、执法监督全过程。</w:t>
      </w:r>
      <w:r>
        <w:rPr>
          <w:rFonts w:hint="eastAsia" w:ascii="仿宋_GB2312" w:eastAsia="仿宋_GB2312"/>
          <w:color w:val="auto"/>
          <w:sz w:val="32"/>
          <w:szCs w:val="32"/>
          <w:shd w:val="clear" w:color="auto" w:fill="FFFFFF"/>
        </w:rPr>
        <w:t>举办政务信息公开培训，提升政务公开水平。</w:t>
      </w:r>
    </w:p>
    <w:p>
      <w:pPr>
        <w:rPr>
          <w:color w:val="auto"/>
        </w:rPr>
      </w:pPr>
      <w:r>
        <w:rPr>
          <w:color w:val="auto"/>
        </w:rPr>
        <w:drawing>
          <wp:inline distT="0" distB="0" distL="0" distR="0">
            <wp:extent cx="5203190" cy="2287270"/>
            <wp:effectExtent l="0" t="0" r="1651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40203" cy="2287270"/>
                    </a:xfrm>
                    <a:prstGeom prst="rect">
                      <a:avLst/>
                    </a:prstGeom>
                    <a:noFill/>
                    <a:ln>
                      <a:noFill/>
                    </a:ln>
                  </pic:spPr>
                </pic:pic>
              </a:graphicData>
            </a:graphic>
          </wp:inline>
        </w:drawing>
      </w:r>
    </w:p>
    <w:p>
      <w:pPr>
        <w:rPr>
          <w:color w:val="auto"/>
        </w:rPr>
      </w:pPr>
      <w:r>
        <w:rPr>
          <w:color w:val="auto"/>
        </w:rPr>
        <w:drawing>
          <wp:inline distT="0" distB="0" distL="0" distR="0">
            <wp:extent cx="5242560" cy="2345055"/>
            <wp:effectExtent l="0" t="0" r="15240" b="171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2560" cy="2345055"/>
                    </a:xfrm>
                    <a:prstGeom prst="rect">
                      <a:avLst/>
                    </a:prstGeom>
                    <a:noFill/>
                    <a:ln>
                      <a:noFill/>
                    </a:ln>
                  </pic:spPr>
                </pic:pic>
              </a:graphicData>
            </a:graphic>
          </wp:inline>
        </w:drawing>
      </w:r>
    </w:p>
    <w:p>
      <w:pPr>
        <w:spacing w:line="560" w:lineRule="exact"/>
        <w:ind w:firstLine="640" w:firstLineChars="200"/>
        <w:rPr>
          <w:rFonts w:ascii="仿宋_GB2312" w:eastAsia="仿宋_GB2312"/>
          <w:color w:val="auto"/>
          <w:sz w:val="32"/>
          <w:szCs w:val="32"/>
        </w:rPr>
      </w:pPr>
      <w:r>
        <w:rPr>
          <w:rFonts w:hint="eastAsia" w:ascii="楷体_GB2312" w:eastAsia="楷体_GB2312"/>
          <w:color w:val="auto"/>
          <w:sz w:val="32"/>
          <w:szCs w:val="32"/>
        </w:rPr>
        <w:t>(三)强化主动公开。</w:t>
      </w:r>
      <w:r>
        <w:rPr>
          <w:rFonts w:hint="eastAsia" w:ascii="仿宋_GB2312" w:eastAsia="仿宋_GB2312"/>
          <w:color w:val="auto"/>
          <w:sz w:val="32"/>
          <w:szCs w:val="32"/>
        </w:rPr>
        <w:t>坚持“以公开为常态、不公开为例外”原则，统筹新冠肺炎疫情防控和卫生健康工作发展，不断创新工作方法和公开方式，加大政府信息公开力度，推进决策、执行、管理、服务、结果“五公开”。2020年主动公开政府信息7</w:t>
      </w:r>
      <w:r>
        <w:rPr>
          <w:rFonts w:ascii="仿宋_GB2312" w:eastAsia="仿宋_GB2312"/>
          <w:color w:val="auto"/>
          <w:sz w:val="32"/>
          <w:szCs w:val="32"/>
        </w:rPr>
        <w:t>740</w:t>
      </w:r>
      <w:r>
        <w:rPr>
          <w:rFonts w:hint="eastAsia" w:ascii="仿宋_GB2312" w:eastAsia="仿宋_GB2312"/>
          <w:color w:val="auto"/>
          <w:sz w:val="32"/>
          <w:szCs w:val="32"/>
        </w:rPr>
        <w:t>条（政务动态信息更新量3341条，信息公开目录信息980条，概况类信息更新量5条，新冠肺炎疫情专栏信息</w:t>
      </w:r>
      <w:r>
        <w:rPr>
          <w:rFonts w:ascii="仿宋_GB2312" w:eastAsia="仿宋_GB2312"/>
          <w:color w:val="auto"/>
          <w:sz w:val="32"/>
          <w:szCs w:val="32"/>
        </w:rPr>
        <w:t>3414条）</w:t>
      </w:r>
      <w:r>
        <w:rPr>
          <w:rFonts w:hint="eastAsia" w:ascii="仿宋_GB2312" w:eastAsia="仿宋_GB2312"/>
          <w:color w:val="auto"/>
          <w:sz w:val="32"/>
          <w:szCs w:val="32"/>
        </w:rPr>
        <w:t>。济南卫生健康公微信众号</w:t>
      </w:r>
      <w:r>
        <w:rPr>
          <w:rFonts w:ascii="仿宋_GB2312" w:eastAsia="仿宋_GB2312"/>
          <w:color w:val="auto"/>
          <w:sz w:val="32"/>
          <w:szCs w:val="32"/>
        </w:rPr>
        <w:t>2549</w:t>
      </w:r>
      <w:r>
        <w:rPr>
          <w:rFonts w:hint="eastAsia" w:ascii="仿宋_GB2312" w:eastAsia="仿宋_GB2312"/>
          <w:color w:val="auto"/>
          <w:sz w:val="32"/>
          <w:szCs w:val="32"/>
        </w:rPr>
        <w:t>条。利用媒体资源广泛全面发声，在各类媒体刊发宣传稿件30337篇，在人民日报、新华社等国家级重点媒体平台刊发稿件400余篇，多篇报道点击量阅读量推荐量超过10万+。</w:t>
      </w:r>
    </w:p>
    <w:p>
      <w:pPr>
        <w:rPr>
          <w:rFonts w:ascii="仿宋_GB2312" w:eastAsia="仿宋_GB2312"/>
          <w:color w:val="auto"/>
          <w:sz w:val="32"/>
          <w:szCs w:val="32"/>
        </w:rPr>
      </w:pPr>
      <w:r>
        <w:drawing>
          <wp:inline distT="0" distB="0" distL="114300" distR="114300">
            <wp:extent cx="5271770" cy="2664460"/>
            <wp:effectExtent l="0" t="0" r="508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71770" cy="2664460"/>
                    </a:xfrm>
                    <a:prstGeom prst="rect">
                      <a:avLst/>
                    </a:prstGeom>
                    <a:noFill/>
                    <a:ln>
                      <a:noFill/>
                    </a:ln>
                  </pic:spPr>
                </pic:pic>
              </a:graphicData>
            </a:graphic>
          </wp:inline>
        </w:drawing>
      </w:r>
    </w:p>
    <w:p>
      <w:pPr>
        <w:rPr>
          <w:rFonts w:ascii="仿宋_GB2312" w:eastAsia="仿宋_GB2312"/>
          <w:color w:val="auto"/>
          <w:sz w:val="32"/>
          <w:szCs w:val="32"/>
        </w:rPr>
      </w:pPr>
      <w:r>
        <w:drawing>
          <wp:inline distT="0" distB="0" distL="114300" distR="114300">
            <wp:extent cx="5248275" cy="2628900"/>
            <wp:effectExtent l="0" t="0" r="952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48275" cy="2628900"/>
                    </a:xfrm>
                    <a:prstGeom prst="rect">
                      <a:avLst/>
                    </a:prstGeom>
                    <a:noFill/>
                    <a:ln>
                      <a:noFill/>
                    </a:ln>
                  </pic:spPr>
                </pic:pic>
              </a:graphicData>
            </a:graphic>
          </wp:inline>
        </w:drawing>
      </w:r>
    </w:p>
    <w:p>
      <w:pPr>
        <w:spacing w:line="560" w:lineRule="exact"/>
        <w:ind w:firstLine="707" w:firstLineChars="221"/>
        <w:rPr>
          <w:rFonts w:ascii="仿宋_GB2312" w:eastAsia="仿宋_GB2312"/>
          <w:color w:val="auto"/>
          <w:sz w:val="32"/>
          <w:szCs w:val="32"/>
        </w:rPr>
      </w:pPr>
      <w:r>
        <w:rPr>
          <w:rFonts w:hint="eastAsia" w:ascii="楷体_GB2312" w:eastAsia="楷体_GB2312"/>
          <w:color w:val="auto"/>
          <w:sz w:val="32"/>
          <w:szCs w:val="32"/>
        </w:rPr>
        <w:t>1</w:t>
      </w:r>
      <w:r>
        <w:rPr>
          <w:rFonts w:ascii="楷体_GB2312" w:eastAsia="楷体_GB2312"/>
          <w:color w:val="auto"/>
          <w:sz w:val="32"/>
          <w:szCs w:val="32"/>
        </w:rPr>
        <w:t>.</w:t>
      </w:r>
      <w:r>
        <w:rPr>
          <w:rFonts w:hint="eastAsia" w:ascii="楷体_GB2312" w:eastAsia="楷体_GB2312"/>
          <w:color w:val="auto"/>
          <w:sz w:val="32"/>
          <w:szCs w:val="32"/>
        </w:rPr>
        <w:t>推进新冠肺炎疫情信息公开。</w:t>
      </w:r>
      <w:r>
        <w:rPr>
          <w:rFonts w:hint="eastAsia" w:ascii="仿宋_GB2312" w:eastAsia="仿宋_GB2312"/>
          <w:color w:val="auto"/>
          <w:sz w:val="32"/>
          <w:szCs w:val="32"/>
        </w:rPr>
        <w:t>在网站设立“新型冠状病毒肺炎疫情防控”专栏，下设“</w:t>
      </w:r>
      <w:r>
        <w:rPr>
          <w:color w:val="auto"/>
        </w:rPr>
        <w:fldChar w:fldCharType="begin"/>
      </w:r>
      <w:r>
        <w:rPr>
          <w:color w:val="auto"/>
        </w:rPr>
        <w:instrText xml:space="preserve"> HYPERLINK "http://jnmhc.jinan.gov.cn/col/col50366/index.html" \t "_blank" </w:instrText>
      </w:r>
      <w:r>
        <w:rPr>
          <w:color w:val="auto"/>
        </w:rPr>
        <w:fldChar w:fldCharType="separate"/>
      </w:r>
      <w:r>
        <w:rPr>
          <w:rStyle w:val="10"/>
          <w:rFonts w:hint="eastAsia" w:ascii="仿宋_GB2312" w:eastAsia="仿宋_GB2312"/>
          <w:color w:val="auto"/>
          <w:sz w:val="32"/>
          <w:szCs w:val="32"/>
        </w:rPr>
        <w:t>通知公告</w:t>
      </w:r>
      <w:r>
        <w:rPr>
          <w:rStyle w:val="10"/>
          <w:rFonts w:hint="eastAsia" w:ascii="仿宋_GB2312" w:eastAsia="仿宋_GB2312"/>
          <w:color w:val="auto"/>
          <w:sz w:val="32"/>
          <w:szCs w:val="32"/>
        </w:rPr>
        <w:fldChar w:fldCharType="end"/>
      </w:r>
      <w:r>
        <w:rPr>
          <w:rFonts w:hint="eastAsia" w:ascii="仿宋_GB2312" w:eastAsia="仿宋_GB2312"/>
          <w:color w:val="auto"/>
          <w:sz w:val="32"/>
          <w:szCs w:val="32"/>
        </w:rPr>
        <w:t>”“</w:t>
      </w:r>
      <w:r>
        <w:rPr>
          <w:color w:val="auto"/>
        </w:rPr>
        <w:fldChar w:fldCharType="begin"/>
      </w:r>
      <w:r>
        <w:rPr>
          <w:color w:val="auto"/>
        </w:rPr>
        <w:instrText xml:space="preserve"> HYPERLINK "http://jnmhc.jinan.gov.cn/col/col50367/index.html" \t "_blank" </w:instrText>
      </w:r>
      <w:r>
        <w:rPr>
          <w:color w:val="auto"/>
        </w:rPr>
        <w:fldChar w:fldCharType="separate"/>
      </w:r>
      <w:r>
        <w:rPr>
          <w:rStyle w:val="10"/>
          <w:rFonts w:hint="eastAsia" w:ascii="仿宋_GB2312" w:eastAsia="仿宋_GB2312"/>
          <w:color w:val="auto"/>
          <w:sz w:val="32"/>
          <w:szCs w:val="32"/>
        </w:rPr>
        <w:t>防控动态</w:t>
      </w:r>
      <w:r>
        <w:rPr>
          <w:rStyle w:val="10"/>
          <w:rFonts w:hint="eastAsia" w:ascii="仿宋_GB2312" w:eastAsia="仿宋_GB2312"/>
          <w:color w:val="auto"/>
          <w:sz w:val="32"/>
          <w:szCs w:val="32"/>
        </w:rPr>
        <w:fldChar w:fldCharType="end"/>
      </w:r>
      <w:r>
        <w:rPr>
          <w:rFonts w:hint="eastAsia" w:ascii="仿宋_GB2312" w:eastAsia="仿宋_GB2312"/>
          <w:color w:val="auto"/>
          <w:sz w:val="32"/>
          <w:szCs w:val="32"/>
        </w:rPr>
        <w:t>”“</w:t>
      </w:r>
      <w:r>
        <w:rPr>
          <w:color w:val="auto"/>
        </w:rPr>
        <w:fldChar w:fldCharType="begin"/>
      </w:r>
      <w:r>
        <w:rPr>
          <w:color w:val="auto"/>
        </w:rPr>
        <w:instrText xml:space="preserve"> HYPERLINK "http://jnmhc.jinan.gov.cn/col/col50369/index.html" \t "_blank" </w:instrText>
      </w:r>
      <w:r>
        <w:rPr>
          <w:color w:val="auto"/>
        </w:rPr>
        <w:fldChar w:fldCharType="separate"/>
      </w:r>
      <w:r>
        <w:rPr>
          <w:rStyle w:val="10"/>
          <w:rFonts w:hint="eastAsia" w:ascii="仿宋_GB2312" w:eastAsia="仿宋_GB2312"/>
          <w:color w:val="auto"/>
          <w:sz w:val="32"/>
          <w:szCs w:val="32"/>
        </w:rPr>
        <w:t>媒体视窗</w:t>
      </w:r>
      <w:r>
        <w:rPr>
          <w:rStyle w:val="10"/>
          <w:rFonts w:hint="eastAsia" w:ascii="仿宋_GB2312" w:eastAsia="仿宋_GB2312"/>
          <w:color w:val="auto"/>
          <w:sz w:val="32"/>
          <w:szCs w:val="32"/>
        </w:rPr>
        <w:fldChar w:fldCharType="end"/>
      </w:r>
      <w:r>
        <w:rPr>
          <w:rFonts w:hint="eastAsia" w:ascii="仿宋_GB2312" w:eastAsia="仿宋_GB2312"/>
          <w:color w:val="auto"/>
          <w:sz w:val="32"/>
          <w:szCs w:val="32"/>
        </w:rPr>
        <w:t>”“</w:t>
      </w:r>
      <w:r>
        <w:rPr>
          <w:color w:val="auto"/>
        </w:rPr>
        <w:fldChar w:fldCharType="begin"/>
      </w:r>
      <w:r>
        <w:rPr>
          <w:color w:val="auto"/>
        </w:rPr>
        <w:instrText xml:space="preserve"> HYPERLINK "http://jnmhc.jinan.gov.cn/col/col50370/index.html" \t "_blank" </w:instrText>
      </w:r>
      <w:r>
        <w:rPr>
          <w:color w:val="auto"/>
        </w:rPr>
        <w:fldChar w:fldCharType="separate"/>
      </w:r>
      <w:r>
        <w:rPr>
          <w:rStyle w:val="10"/>
          <w:rFonts w:hint="eastAsia" w:ascii="仿宋_GB2312" w:eastAsia="仿宋_GB2312"/>
          <w:color w:val="auto"/>
          <w:sz w:val="32"/>
          <w:szCs w:val="32"/>
        </w:rPr>
        <w:t>健康知识</w:t>
      </w:r>
      <w:r>
        <w:rPr>
          <w:rStyle w:val="10"/>
          <w:rFonts w:hint="eastAsia" w:ascii="仿宋_GB2312" w:eastAsia="仿宋_GB2312"/>
          <w:color w:val="auto"/>
          <w:sz w:val="32"/>
          <w:szCs w:val="32"/>
        </w:rPr>
        <w:fldChar w:fldCharType="end"/>
      </w:r>
      <w:r>
        <w:rPr>
          <w:rFonts w:hint="eastAsia" w:ascii="仿宋_GB2312" w:eastAsia="仿宋_GB2312"/>
          <w:color w:val="auto"/>
          <w:sz w:val="32"/>
          <w:szCs w:val="32"/>
        </w:rPr>
        <w:t>”“</w:t>
      </w:r>
      <w:r>
        <w:rPr>
          <w:color w:val="auto"/>
        </w:rPr>
        <w:fldChar w:fldCharType="begin"/>
      </w:r>
      <w:r>
        <w:rPr>
          <w:color w:val="auto"/>
        </w:rPr>
        <w:instrText xml:space="preserve"> HYPERLINK "http://jnmhc.jinan.gov.cn/col/col50372/index.html" \t "_blank" </w:instrText>
      </w:r>
      <w:r>
        <w:rPr>
          <w:color w:val="auto"/>
        </w:rPr>
        <w:fldChar w:fldCharType="separate"/>
      </w:r>
      <w:r>
        <w:rPr>
          <w:rStyle w:val="10"/>
          <w:rFonts w:hint="eastAsia" w:ascii="仿宋_GB2312" w:eastAsia="仿宋_GB2312"/>
          <w:color w:val="auto"/>
          <w:sz w:val="32"/>
          <w:szCs w:val="32"/>
        </w:rPr>
        <w:t>医者风采</w:t>
      </w:r>
      <w:r>
        <w:rPr>
          <w:rStyle w:val="10"/>
          <w:rFonts w:hint="eastAsia" w:ascii="仿宋_GB2312" w:eastAsia="仿宋_GB2312"/>
          <w:color w:val="auto"/>
          <w:sz w:val="32"/>
          <w:szCs w:val="32"/>
        </w:rPr>
        <w:fldChar w:fldCharType="end"/>
      </w:r>
      <w:r>
        <w:rPr>
          <w:rFonts w:hint="eastAsia" w:ascii="仿宋_GB2312" w:eastAsia="仿宋_GB2312"/>
          <w:color w:val="auto"/>
          <w:sz w:val="32"/>
          <w:szCs w:val="32"/>
        </w:rPr>
        <w:t>”“</w:t>
      </w:r>
      <w:r>
        <w:rPr>
          <w:color w:val="auto"/>
        </w:rPr>
        <w:fldChar w:fldCharType="begin"/>
      </w:r>
      <w:r>
        <w:rPr>
          <w:color w:val="auto"/>
        </w:rPr>
        <w:instrText xml:space="preserve"> HYPERLINK "http://jnmhc.jinan.gov.cn/col/col50447/index.html" \t "_blank" </w:instrText>
      </w:r>
      <w:r>
        <w:rPr>
          <w:color w:val="auto"/>
        </w:rPr>
        <w:fldChar w:fldCharType="separate"/>
      </w:r>
      <w:r>
        <w:rPr>
          <w:rStyle w:val="10"/>
          <w:rFonts w:hint="eastAsia" w:ascii="仿宋_GB2312" w:eastAsia="仿宋_GB2312"/>
          <w:color w:val="auto"/>
          <w:sz w:val="32"/>
          <w:szCs w:val="32"/>
        </w:rPr>
        <w:t>普法知识</w:t>
      </w:r>
      <w:r>
        <w:rPr>
          <w:rStyle w:val="10"/>
          <w:rFonts w:hint="eastAsia" w:ascii="仿宋_GB2312" w:eastAsia="仿宋_GB2312"/>
          <w:color w:val="auto"/>
          <w:sz w:val="32"/>
          <w:szCs w:val="32"/>
        </w:rPr>
        <w:fldChar w:fldCharType="end"/>
      </w:r>
      <w:r>
        <w:rPr>
          <w:rFonts w:hint="eastAsia" w:ascii="仿宋_GB2312" w:eastAsia="仿宋_GB2312"/>
          <w:color w:val="auto"/>
          <w:sz w:val="32"/>
          <w:szCs w:val="32"/>
        </w:rPr>
        <w:t>”六个子专栏。第一时间发布权威信息，引导正面舆情；及时发布媒体有关疫情防控知识、一线医务工作者风采、健康和普法知识，传播正能量。全年主动发布新冠肺炎疫情专栏信息2</w:t>
      </w:r>
      <w:r>
        <w:rPr>
          <w:rFonts w:ascii="仿宋_GB2312" w:eastAsia="仿宋_GB2312"/>
          <w:color w:val="auto"/>
          <w:sz w:val="32"/>
          <w:szCs w:val="32"/>
        </w:rPr>
        <w:t>919条</w:t>
      </w:r>
      <w:r>
        <w:rPr>
          <w:rFonts w:hint="eastAsia" w:ascii="仿宋_GB2312" w:eastAsia="仿宋_GB2312"/>
          <w:color w:val="auto"/>
          <w:sz w:val="32"/>
          <w:szCs w:val="32"/>
        </w:rPr>
        <w:t>。</w:t>
      </w:r>
    </w:p>
    <w:p>
      <w:pPr>
        <w:rPr>
          <w:rFonts w:ascii="仿宋_GB2312" w:eastAsia="仿宋_GB2312"/>
          <w:color w:val="auto"/>
          <w:sz w:val="32"/>
          <w:szCs w:val="32"/>
        </w:rPr>
      </w:pPr>
      <w:r>
        <w:rPr>
          <w:color w:val="auto"/>
        </w:rPr>
        <w:drawing>
          <wp:inline distT="0" distB="0" distL="0" distR="0">
            <wp:extent cx="5234940" cy="33070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34940" cy="3307080"/>
                    </a:xfrm>
                    <a:prstGeom prst="rect">
                      <a:avLst/>
                    </a:prstGeom>
                    <a:noFill/>
                    <a:ln>
                      <a:noFill/>
                    </a:ln>
                  </pic:spPr>
                </pic:pic>
              </a:graphicData>
            </a:graphic>
          </wp:inline>
        </w:drawing>
      </w:r>
    </w:p>
    <w:p>
      <w:pPr>
        <w:rPr>
          <w:rFonts w:ascii="仿宋_GB2312" w:eastAsia="仿宋_GB2312"/>
          <w:color w:val="auto"/>
          <w:sz w:val="32"/>
          <w:szCs w:val="32"/>
        </w:rPr>
      </w:pPr>
      <w:r>
        <w:drawing>
          <wp:inline distT="0" distB="0" distL="114300" distR="114300">
            <wp:extent cx="5269230" cy="3173095"/>
            <wp:effectExtent l="0" t="0" r="7620"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69230" cy="3173095"/>
                    </a:xfrm>
                    <a:prstGeom prst="rect">
                      <a:avLst/>
                    </a:prstGeom>
                    <a:noFill/>
                    <a:ln>
                      <a:noFill/>
                    </a:ln>
                  </pic:spPr>
                </pic:pic>
              </a:graphicData>
            </a:graphic>
          </wp:inline>
        </w:drawing>
      </w:r>
    </w:p>
    <w:p>
      <w:pPr>
        <w:spacing w:line="560" w:lineRule="exact"/>
        <w:ind w:firstLine="643" w:firstLineChars="200"/>
        <w:rPr>
          <w:rFonts w:ascii="仿宋_GB2312" w:eastAsia="仿宋_GB2312"/>
          <w:b/>
          <w:bCs/>
          <w:color w:val="auto"/>
          <w:sz w:val="32"/>
          <w:szCs w:val="32"/>
        </w:rPr>
      </w:pPr>
      <w:r>
        <w:rPr>
          <w:rFonts w:hint="eastAsia" w:ascii="仿宋_GB2312" w:eastAsia="仿宋_GB2312"/>
          <w:b/>
          <w:bCs/>
          <w:color w:val="auto"/>
          <w:sz w:val="32"/>
          <w:szCs w:val="32"/>
        </w:rPr>
        <w:t>2</w:t>
      </w:r>
      <w:r>
        <w:rPr>
          <w:rFonts w:ascii="仿宋_GB2312" w:eastAsia="仿宋_GB2312"/>
          <w:b/>
          <w:bCs/>
          <w:color w:val="auto"/>
          <w:sz w:val="32"/>
          <w:szCs w:val="32"/>
        </w:rPr>
        <w:t>.</w:t>
      </w:r>
      <w:r>
        <w:rPr>
          <w:rFonts w:hint="eastAsia" w:ascii="仿宋_GB2312" w:eastAsia="仿宋_GB2312"/>
          <w:b/>
          <w:bCs/>
          <w:color w:val="auto"/>
          <w:sz w:val="32"/>
          <w:szCs w:val="32"/>
        </w:rPr>
        <w:t>推进“五公开”。</w:t>
      </w:r>
    </w:p>
    <w:p>
      <w:pPr>
        <w:pStyle w:val="2"/>
        <w:keepNext w:val="0"/>
        <w:keepLines w:val="0"/>
        <w:widowControl/>
        <w:spacing w:before="0" w:after="0" w:line="420" w:lineRule="atLeast"/>
        <w:ind w:firstLine="643" w:firstLineChars="200"/>
        <w:jc w:val="left"/>
        <w:rPr>
          <w:rFonts w:ascii="仿宋_GB2312" w:eastAsia="仿宋_GB2312" w:hAnsiTheme="minorHAnsi" w:cstheme="minorBidi"/>
          <w:b w:val="0"/>
          <w:bCs w:val="0"/>
          <w:color w:val="auto"/>
        </w:rPr>
      </w:pPr>
      <w:r>
        <w:rPr>
          <w:rFonts w:hint="eastAsia" w:ascii="仿宋_GB2312" w:eastAsia="仿宋_GB2312"/>
          <w:color w:val="auto"/>
        </w:rPr>
        <w:t>推进决策公开。</w:t>
      </w:r>
      <w:r>
        <w:rPr>
          <w:rFonts w:hint="eastAsia" w:ascii="仿宋_GB2312" w:eastAsia="仿宋_GB2312" w:hAnsiTheme="minorHAnsi" w:cstheme="minorBidi"/>
          <w:b w:val="0"/>
          <w:bCs w:val="0"/>
          <w:color w:val="auto"/>
        </w:rPr>
        <w:t>做好会议公开。及时梳理归纳委主任办公会议题，对涉及国计民生、具有全局性、综合性重大事项的决策，以及涉及群众健康的卫生健康事项及时进行公开并作相关解读。全年公开8次主任办公会相关会议内容。做好政策文件公开。印发《卫生健康系统市级和区县事权划分清单》《济南市卫生健康委重大行政决策合法性审查制度》《推行第二批行政处罚“四张清单”制度》《济南市卫生健康委员会制度建设三年行动计划实施方案》等文件并及时公开，做好政策解读。</w:t>
      </w:r>
      <w:r>
        <w:rPr>
          <w:rFonts w:hint="eastAsia" w:ascii="仿宋_GB2312" w:eastAsia="仿宋_GB2312" w:hAnsiTheme="minorHAnsi" w:cstheme="minorBidi"/>
          <w:b w:val="0"/>
          <w:bCs w:val="0"/>
          <w:color w:val="auto"/>
          <w:lang w:eastAsia="zh-CN"/>
        </w:rPr>
        <w:t>全年主动公开政策文件</w:t>
      </w:r>
      <w:r>
        <w:rPr>
          <w:rFonts w:hint="eastAsia" w:ascii="仿宋_GB2312" w:eastAsia="仿宋_GB2312" w:hAnsiTheme="minorHAnsi" w:cstheme="minorBidi"/>
          <w:b w:val="0"/>
          <w:bCs w:val="0"/>
          <w:color w:val="auto"/>
          <w:lang w:val="en-US" w:eastAsia="zh-CN"/>
        </w:rPr>
        <w:t>75件，对其中27件作了政策解读。</w:t>
      </w:r>
      <w:r>
        <w:rPr>
          <w:rFonts w:hint="eastAsia" w:ascii="仿宋_GB2312" w:eastAsia="仿宋_GB2312" w:hAnsiTheme="minorHAnsi" w:cstheme="minorBidi"/>
          <w:b w:val="0"/>
          <w:bCs w:val="0"/>
          <w:color w:val="auto"/>
        </w:rPr>
        <w:t>做好重大决策预公开。年内分别对《济南市院前医疗急救条例》《济南市民卫生健康公约》《济南市健康医疗数据管理办法（试行）》面向社会征求意见，并及时对征求意见情况进行反馈。</w:t>
      </w:r>
    </w:p>
    <w:p>
      <w:pPr>
        <w:rPr>
          <w:color w:val="auto"/>
        </w:rPr>
      </w:pPr>
      <w:r>
        <w:rPr>
          <w:color w:val="auto"/>
        </w:rPr>
        <w:drawing>
          <wp:inline distT="0" distB="0" distL="0" distR="0">
            <wp:extent cx="5274310" cy="24155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415540"/>
                    </a:xfrm>
                    <a:prstGeom prst="rect">
                      <a:avLst/>
                    </a:prstGeom>
                    <a:noFill/>
                    <a:ln>
                      <a:noFill/>
                    </a:ln>
                  </pic:spPr>
                </pic:pic>
              </a:graphicData>
            </a:graphic>
          </wp:inline>
        </w:drawing>
      </w:r>
    </w:p>
    <w:p>
      <w:pPr>
        <w:rPr>
          <w:color w:val="auto"/>
        </w:rPr>
      </w:pPr>
      <w:r>
        <w:rPr>
          <w:color w:val="auto"/>
        </w:rPr>
        <w:drawing>
          <wp:inline distT="0" distB="0" distL="0" distR="0">
            <wp:extent cx="5274310" cy="18288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80497" cy="1830945"/>
                    </a:xfrm>
                    <a:prstGeom prst="rect">
                      <a:avLst/>
                    </a:prstGeom>
                    <a:noFill/>
                    <a:ln>
                      <a:noFill/>
                    </a:ln>
                  </pic:spPr>
                </pic:pic>
              </a:graphicData>
            </a:graphic>
          </wp:inline>
        </w:drawing>
      </w:r>
    </w:p>
    <w:p>
      <w:pPr>
        <w:rPr>
          <w:color w:val="auto"/>
        </w:rPr>
      </w:pPr>
      <w:r>
        <w:rPr>
          <w:color w:val="auto"/>
        </w:rPr>
        <w:drawing>
          <wp:inline distT="0" distB="0" distL="0" distR="0">
            <wp:extent cx="5274310" cy="260604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606040"/>
                    </a:xfrm>
                    <a:prstGeom prst="rect">
                      <a:avLst/>
                    </a:prstGeom>
                    <a:noFill/>
                    <a:ln>
                      <a:noFill/>
                    </a:ln>
                  </pic:spPr>
                </pic:pic>
              </a:graphicData>
            </a:graphic>
          </wp:inline>
        </w:drawing>
      </w:r>
    </w:p>
    <w:p>
      <w:pPr>
        <w:spacing w:line="560" w:lineRule="exact"/>
        <w:ind w:firstLine="643" w:firstLineChars="200"/>
        <w:rPr>
          <w:rFonts w:ascii="仿宋_GB2312" w:eastAsia="仿宋_GB2312"/>
          <w:color w:val="auto"/>
          <w:sz w:val="32"/>
          <w:szCs w:val="32"/>
        </w:rPr>
      </w:pPr>
      <w:r>
        <w:rPr>
          <w:rFonts w:hint="eastAsia" w:ascii="仿宋_GB2312" w:eastAsia="仿宋_GB2312"/>
          <w:b/>
          <w:bCs/>
          <w:color w:val="auto"/>
          <w:sz w:val="32"/>
          <w:szCs w:val="32"/>
        </w:rPr>
        <w:t>推进执行公开。</w:t>
      </w:r>
      <w:r>
        <w:rPr>
          <w:rFonts w:hint="eastAsia" w:ascii="仿宋_GB2312" w:eastAsia="仿宋_GB2312"/>
          <w:color w:val="auto"/>
          <w:sz w:val="32"/>
          <w:szCs w:val="32"/>
        </w:rPr>
        <w:t>推行行政执法公开，公开职责权限、执法依据、裁量基准、执法流程、执法结果、救济途径等。加强执行监督检查，完善跟踪反馈机制，公布监督检查信息41条，行政处罚信息13条，“双随机、一公开”抽查信息等33条。</w:t>
      </w:r>
    </w:p>
    <w:p>
      <w:pPr>
        <w:rPr>
          <w:rFonts w:ascii="仿宋_GB2312" w:eastAsia="仿宋_GB2312"/>
          <w:color w:val="auto"/>
          <w:sz w:val="32"/>
          <w:szCs w:val="32"/>
        </w:rPr>
      </w:pPr>
      <w:r>
        <w:rPr>
          <w:color w:val="auto"/>
        </w:rPr>
        <w:drawing>
          <wp:inline distT="0" distB="0" distL="0" distR="0">
            <wp:extent cx="5274310" cy="24460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446020"/>
                    </a:xfrm>
                    <a:prstGeom prst="rect">
                      <a:avLst/>
                    </a:prstGeom>
                    <a:noFill/>
                    <a:ln>
                      <a:noFill/>
                    </a:ln>
                  </pic:spPr>
                </pic:pic>
              </a:graphicData>
            </a:graphic>
          </wp:inline>
        </w:drawing>
      </w:r>
    </w:p>
    <w:p>
      <w:pPr>
        <w:pStyle w:val="2"/>
        <w:keepNext w:val="0"/>
        <w:keepLines w:val="0"/>
        <w:widowControl/>
        <w:spacing w:before="0" w:after="0" w:line="420" w:lineRule="atLeast"/>
        <w:ind w:firstLine="643" w:firstLineChars="200"/>
        <w:jc w:val="left"/>
        <w:rPr>
          <w:rFonts w:ascii="仿宋_GB2312" w:eastAsia="仿宋_GB2312" w:hAnsiTheme="minorHAnsi" w:cstheme="minorBidi"/>
          <w:b w:val="0"/>
          <w:bCs w:val="0"/>
          <w:color w:val="auto"/>
        </w:rPr>
      </w:pPr>
      <w:r>
        <w:rPr>
          <w:rFonts w:hint="eastAsia" w:ascii="仿宋_GB2312" w:eastAsia="仿宋_GB2312"/>
          <w:color w:val="auto"/>
        </w:rPr>
        <w:t>推进管理公开。</w:t>
      </w:r>
      <w:r>
        <w:rPr>
          <w:rFonts w:hint="eastAsia" w:ascii="仿宋_GB2312" w:eastAsia="仿宋_GB2312" w:hAnsiTheme="minorHAnsi" w:cstheme="minorBidi"/>
          <w:b w:val="0"/>
          <w:bCs w:val="0"/>
          <w:color w:val="auto"/>
        </w:rPr>
        <w:t>推进管理清单化，推动权力清单、任务清单、责任清单、措施清单、成果清单制定，健全清单动态调整机制。根据机构改革情况和三定方案要求，及时对单位机构职能、领导情况及分工、处室职责等情况进行调整和公开。做好预决算公开。及时发布《济南市卫生健康委员会2020年市级部门预算公开》《2019年度济南市卫生健康委员会部门决算公开》《2019年度济南市老龄工作委员会办公室部门决算公开》等预决算说明和表格。并对有关</w:t>
      </w:r>
      <w:r>
        <w:rPr>
          <w:color w:val="auto"/>
        </w:rPr>
        <w:fldChar w:fldCharType="begin"/>
      </w:r>
      <w:r>
        <w:rPr>
          <w:color w:val="auto"/>
        </w:rPr>
        <w:instrText xml:space="preserve"> HYPERLINK "http://jnmhc.jinan.gov.cn/col/col14414/index.html" </w:instrText>
      </w:r>
      <w:r>
        <w:rPr>
          <w:color w:val="auto"/>
        </w:rPr>
        <w:fldChar w:fldCharType="separate"/>
      </w:r>
      <w:r>
        <w:rPr>
          <w:rFonts w:hint="eastAsia" w:ascii="仿宋_GB2312" w:eastAsia="仿宋_GB2312" w:hAnsiTheme="minorHAnsi" w:cstheme="minorBidi"/>
          <w:b w:val="0"/>
          <w:bCs w:val="0"/>
          <w:color w:val="auto"/>
        </w:rPr>
        <w:t>价格收费</w:t>
      </w:r>
      <w:r>
        <w:rPr>
          <w:rFonts w:hint="eastAsia" w:ascii="仿宋_GB2312" w:eastAsia="仿宋_GB2312" w:hAnsiTheme="minorHAnsi" w:cstheme="minorBidi"/>
          <w:b w:val="0"/>
          <w:bCs w:val="0"/>
          <w:color w:val="auto"/>
        </w:rPr>
        <w:fldChar w:fldCharType="end"/>
      </w:r>
      <w:r>
        <w:rPr>
          <w:rFonts w:hint="eastAsia" w:ascii="仿宋_GB2312" w:eastAsia="仿宋_GB2312" w:hAnsiTheme="minorHAnsi" w:cstheme="minorBidi"/>
          <w:b w:val="0"/>
          <w:bCs w:val="0"/>
          <w:color w:val="auto"/>
        </w:rPr>
        <w:t>和</w:t>
      </w:r>
      <w:r>
        <w:rPr>
          <w:color w:val="auto"/>
        </w:rPr>
        <w:fldChar w:fldCharType="begin"/>
      </w:r>
      <w:r>
        <w:rPr>
          <w:color w:val="auto"/>
        </w:rPr>
        <w:instrText xml:space="preserve"> HYPERLINK "http://jnmhc.jinan.gov.cn/col/col14415/index.html" </w:instrText>
      </w:r>
      <w:r>
        <w:rPr>
          <w:color w:val="auto"/>
        </w:rPr>
        <w:fldChar w:fldCharType="separate"/>
      </w:r>
      <w:r>
        <w:rPr>
          <w:rFonts w:hint="eastAsia" w:ascii="仿宋_GB2312" w:eastAsia="仿宋_GB2312" w:hAnsiTheme="minorHAnsi" w:cstheme="minorBidi"/>
          <w:b w:val="0"/>
          <w:bCs w:val="0"/>
          <w:color w:val="auto"/>
        </w:rPr>
        <w:t>招标采购</w:t>
      </w:r>
      <w:r>
        <w:rPr>
          <w:rFonts w:hint="eastAsia" w:ascii="仿宋_GB2312" w:eastAsia="仿宋_GB2312" w:hAnsiTheme="minorHAnsi" w:cstheme="minorBidi"/>
          <w:b w:val="0"/>
          <w:bCs w:val="0"/>
          <w:color w:val="auto"/>
        </w:rPr>
        <w:fldChar w:fldCharType="end"/>
      </w:r>
      <w:r>
        <w:rPr>
          <w:rFonts w:hint="eastAsia" w:ascii="仿宋_GB2312" w:eastAsia="仿宋_GB2312" w:hAnsiTheme="minorHAnsi" w:cstheme="minorBidi"/>
          <w:b w:val="0"/>
          <w:bCs w:val="0"/>
          <w:color w:val="auto"/>
        </w:rPr>
        <w:t>情况进行了公开。</w:t>
      </w:r>
    </w:p>
    <w:p>
      <w:pPr>
        <w:rPr>
          <w:color w:val="auto"/>
        </w:rPr>
      </w:pPr>
      <w:r>
        <w:rPr>
          <w:color w:val="auto"/>
        </w:rPr>
        <w:drawing>
          <wp:inline distT="0" distB="0" distL="0" distR="0">
            <wp:extent cx="5257800" cy="21793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57800" cy="2179320"/>
                    </a:xfrm>
                    <a:prstGeom prst="rect">
                      <a:avLst/>
                    </a:prstGeom>
                    <a:noFill/>
                    <a:ln>
                      <a:noFill/>
                    </a:ln>
                  </pic:spPr>
                </pic:pic>
              </a:graphicData>
            </a:graphic>
          </wp:inline>
        </w:drawing>
      </w:r>
    </w:p>
    <w:p>
      <w:pPr>
        <w:rPr>
          <w:rFonts w:hint="eastAsia"/>
          <w:color w:val="auto"/>
        </w:rPr>
      </w:pPr>
    </w:p>
    <w:p>
      <w:pPr>
        <w:rPr>
          <w:rFonts w:hint="eastAsia"/>
          <w:color w:val="auto"/>
        </w:rPr>
      </w:pPr>
      <w:r>
        <w:rPr>
          <w:color w:val="auto"/>
        </w:rPr>
        <w:drawing>
          <wp:inline distT="0" distB="0" distL="0" distR="0">
            <wp:extent cx="5196840" cy="2316480"/>
            <wp:effectExtent l="0" t="0" r="381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6840" cy="2316480"/>
                    </a:xfrm>
                    <a:prstGeom prst="rect">
                      <a:avLst/>
                    </a:prstGeom>
                    <a:noFill/>
                    <a:ln>
                      <a:noFill/>
                    </a:ln>
                  </pic:spPr>
                </pic:pic>
              </a:graphicData>
            </a:graphic>
          </wp:inline>
        </w:drawing>
      </w:r>
    </w:p>
    <w:p>
      <w:pPr>
        <w:rPr>
          <w:color w:val="auto"/>
        </w:rPr>
      </w:pPr>
      <w:r>
        <w:rPr>
          <w:color w:val="auto"/>
        </w:rPr>
        <w:drawing>
          <wp:inline distT="0" distB="0" distL="0" distR="0">
            <wp:extent cx="5234940" cy="497522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66693" cy="5005475"/>
                    </a:xfrm>
                    <a:prstGeom prst="rect">
                      <a:avLst/>
                    </a:prstGeom>
                    <a:noFill/>
                    <a:ln>
                      <a:noFill/>
                    </a:ln>
                  </pic:spPr>
                </pic:pic>
              </a:graphicData>
            </a:graphic>
          </wp:inline>
        </w:drawing>
      </w:r>
    </w:p>
    <w:p>
      <w:pPr>
        <w:spacing w:line="560" w:lineRule="exact"/>
        <w:ind w:firstLine="643" w:firstLineChars="200"/>
        <w:rPr>
          <w:rFonts w:ascii="仿宋_GB2312" w:eastAsia="仿宋_GB2312"/>
          <w:color w:val="auto"/>
          <w:sz w:val="32"/>
          <w:szCs w:val="32"/>
        </w:rPr>
      </w:pPr>
      <w:r>
        <w:rPr>
          <w:rFonts w:hint="eastAsia" w:ascii="仿宋_GB2312" w:eastAsia="仿宋_GB2312"/>
          <w:b/>
          <w:bCs/>
          <w:color w:val="auto"/>
          <w:sz w:val="32"/>
          <w:szCs w:val="32"/>
        </w:rPr>
        <w:t>推进服务公开。</w:t>
      </w:r>
      <w:r>
        <w:rPr>
          <w:rFonts w:hint="eastAsia" w:ascii="仿宋_GB2312" w:eastAsia="仿宋_GB2312"/>
          <w:color w:val="auto"/>
          <w:sz w:val="32"/>
          <w:szCs w:val="32"/>
        </w:rPr>
        <w:t>全面落实“放管服”改革，推进网上办事，推动实体政务服务向网上办事延伸。加强卫生健康办事公开，及时发布政务服务事项目录，编制发布办事指南，简化优化办理流程，动态调整和更新“办事指南”，确保要素完整，信息准确，方便群众办事。在委网站开设“便民查询”专栏，及时公布</w:t>
      </w:r>
      <w:r>
        <w:rPr>
          <w:color w:val="auto"/>
        </w:rPr>
        <w:fldChar w:fldCharType="begin"/>
      </w:r>
      <w:r>
        <w:rPr>
          <w:color w:val="auto"/>
        </w:rPr>
        <w:instrText xml:space="preserve"> HYPERLINK "http://jnmhc.jinan.gov.cn/art/2020/9/25/art_22438_4663675.html" \t "http://jnmhc.jinan.gov.cn/col/col22438/_blank" \o "济南市秋冬季新冠肺炎疫情医疗救治定点医院名单" </w:instrText>
      </w:r>
      <w:r>
        <w:rPr>
          <w:color w:val="auto"/>
        </w:rPr>
        <w:fldChar w:fldCharType="separate"/>
      </w:r>
      <w:r>
        <w:rPr>
          <w:rFonts w:hint="eastAsia" w:ascii="仿宋_GB2312" w:eastAsia="仿宋_GB2312"/>
          <w:color w:val="auto"/>
          <w:sz w:val="32"/>
          <w:szCs w:val="32"/>
        </w:rPr>
        <w:t>济南市秋冬季新冠肺炎疫情医疗救治定点医院名单</w:t>
      </w:r>
      <w:r>
        <w:rPr>
          <w:rFonts w:hint="eastAsia" w:ascii="仿宋_GB2312" w:eastAsia="仿宋_GB2312"/>
          <w:color w:val="auto"/>
          <w:sz w:val="32"/>
          <w:szCs w:val="32"/>
        </w:rPr>
        <w:fldChar w:fldCharType="end"/>
      </w:r>
      <w:r>
        <w:rPr>
          <w:rFonts w:hint="eastAsia" w:ascii="仿宋_GB2312" w:eastAsia="仿宋_GB2312"/>
          <w:color w:val="auto"/>
          <w:sz w:val="32"/>
          <w:szCs w:val="32"/>
        </w:rPr>
        <w:t>、济南市狂犬病暴露处置门诊信息、济南市农村和城市低保适龄妇女“两癌”检查项目初筛机构及转诊机构名单、济南市计划生育药具发放机分布情况，方便群众，提高群众获得感。</w:t>
      </w:r>
    </w:p>
    <w:p>
      <w:pPr>
        <w:rPr>
          <w:rFonts w:ascii="仿宋_GB2312" w:eastAsia="仿宋_GB2312"/>
          <w:color w:val="auto"/>
          <w:sz w:val="32"/>
          <w:szCs w:val="32"/>
        </w:rPr>
      </w:pPr>
      <w:r>
        <w:rPr>
          <w:color w:val="auto"/>
        </w:rPr>
        <w:drawing>
          <wp:inline distT="0" distB="0" distL="0" distR="0">
            <wp:extent cx="5274310" cy="30099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009900"/>
                    </a:xfrm>
                    <a:prstGeom prst="rect">
                      <a:avLst/>
                    </a:prstGeom>
                    <a:noFill/>
                    <a:ln>
                      <a:noFill/>
                    </a:ln>
                  </pic:spPr>
                </pic:pic>
              </a:graphicData>
            </a:graphic>
          </wp:inline>
        </w:drawing>
      </w:r>
    </w:p>
    <w:p>
      <w:pPr>
        <w:rPr>
          <w:rFonts w:ascii="仿宋_GB2312" w:eastAsia="仿宋_GB2312"/>
          <w:color w:val="auto"/>
          <w:sz w:val="32"/>
          <w:szCs w:val="32"/>
        </w:rPr>
      </w:pPr>
      <w:r>
        <w:rPr>
          <w:color w:val="auto"/>
        </w:rPr>
        <w:drawing>
          <wp:inline distT="0" distB="0" distL="0" distR="0">
            <wp:extent cx="5274310" cy="311658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3116580"/>
                    </a:xfrm>
                    <a:prstGeom prst="rect">
                      <a:avLst/>
                    </a:prstGeom>
                    <a:noFill/>
                    <a:ln>
                      <a:noFill/>
                    </a:ln>
                  </pic:spPr>
                </pic:pic>
              </a:graphicData>
            </a:graphic>
          </wp:inline>
        </w:drawing>
      </w:r>
    </w:p>
    <w:p>
      <w:pPr>
        <w:spacing w:line="560" w:lineRule="exact"/>
        <w:ind w:firstLine="643" w:firstLineChars="200"/>
        <w:rPr>
          <w:rFonts w:ascii="仿宋_GB2312" w:eastAsia="仿宋_GB2312"/>
          <w:color w:val="auto"/>
          <w:sz w:val="32"/>
          <w:szCs w:val="32"/>
        </w:rPr>
      </w:pPr>
      <w:r>
        <w:rPr>
          <w:rFonts w:hint="eastAsia" w:ascii="仿宋_GB2312" w:eastAsia="仿宋_GB2312"/>
          <w:b/>
          <w:bCs/>
          <w:color w:val="auto"/>
          <w:sz w:val="32"/>
          <w:szCs w:val="32"/>
        </w:rPr>
        <w:t>推进结果公开。</w:t>
      </w:r>
      <w:r>
        <w:rPr>
          <w:rFonts w:hint="eastAsia" w:ascii="仿宋_GB2312" w:eastAsia="仿宋_GB2312"/>
          <w:color w:val="auto"/>
          <w:sz w:val="32"/>
          <w:szCs w:val="32"/>
        </w:rPr>
        <w:t>按照《2020年政府工作报告》任务分工和为民办实事事项，及时调度有关重点任务和实事进展、完成情况，并按节点及时在委网站公开，接受社会和群众监督。做好建议提案办理结果公开。及时对34件人大建议，84条政协提案进行了办理，向社会公开了办理复文全文。</w:t>
      </w:r>
    </w:p>
    <w:p>
      <w:pPr>
        <w:rPr>
          <w:rFonts w:ascii="仿宋_GB2312" w:eastAsia="仿宋_GB2312"/>
          <w:color w:val="auto"/>
          <w:sz w:val="32"/>
          <w:szCs w:val="32"/>
        </w:rPr>
      </w:pPr>
      <w:r>
        <w:rPr>
          <w:color w:val="auto"/>
        </w:rPr>
        <w:drawing>
          <wp:inline distT="0" distB="0" distL="0" distR="0">
            <wp:extent cx="5447030" cy="2674620"/>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73475" cy="2687605"/>
                    </a:xfrm>
                    <a:prstGeom prst="rect">
                      <a:avLst/>
                    </a:prstGeom>
                    <a:noFill/>
                    <a:ln>
                      <a:noFill/>
                    </a:ln>
                  </pic:spPr>
                </pic:pic>
              </a:graphicData>
            </a:graphic>
          </wp:inline>
        </w:drawing>
      </w:r>
    </w:p>
    <w:p>
      <w:pPr>
        <w:rPr>
          <w:rFonts w:ascii="仿宋_GB2312" w:eastAsia="仿宋_GB2312"/>
          <w:color w:val="auto"/>
          <w:sz w:val="32"/>
          <w:szCs w:val="32"/>
        </w:rPr>
      </w:pPr>
      <w:r>
        <w:rPr>
          <w:color w:val="auto"/>
        </w:rPr>
        <w:drawing>
          <wp:inline distT="0" distB="0" distL="0" distR="0">
            <wp:extent cx="5363845" cy="2392680"/>
            <wp:effectExtent l="0" t="0" r="825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396765" cy="2407365"/>
                    </a:xfrm>
                    <a:prstGeom prst="rect">
                      <a:avLst/>
                    </a:prstGeom>
                    <a:noFill/>
                    <a:ln>
                      <a:noFill/>
                    </a:ln>
                  </pic:spPr>
                </pic:pic>
              </a:graphicData>
            </a:graphic>
          </wp:inline>
        </w:drawing>
      </w:r>
    </w:p>
    <w:p>
      <w:pPr>
        <w:pStyle w:val="5"/>
        <w:widowControl/>
        <w:spacing w:beforeAutospacing="0" w:afterAutospacing="0" w:line="555" w:lineRule="atLeast"/>
        <w:ind w:firstLine="645"/>
        <w:rPr>
          <w:rFonts w:hint="eastAsia" w:ascii="仿宋_GB2312" w:hAnsi="宋体" w:eastAsia="仿宋_GB2312" w:cs="宋体"/>
          <w:color w:val="auto"/>
          <w:sz w:val="32"/>
          <w:szCs w:val="32"/>
        </w:rPr>
      </w:pPr>
      <w:r>
        <w:rPr>
          <w:rStyle w:val="8"/>
          <w:rFonts w:hint="eastAsia" w:ascii="仿宋" w:hAnsi="仿宋" w:eastAsia="仿宋" w:cs="仿宋"/>
          <w:color w:val="auto"/>
          <w:sz w:val="31"/>
          <w:szCs w:val="31"/>
        </w:rPr>
        <w:t>3.提升多元化公开。在做好市卫生健康委门户网站基础上，开设济南卫生健康微信公众号，开设</w:t>
      </w:r>
      <w:r>
        <w:rPr>
          <w:rFonts w:hint="eastAsia" w:ascii="仿宋_GB2312" w:hAnsi="仿宋" w:eastAsia="仿宋_GB2312" w:cs="仿宋_GB2312"/>
          <w:color w:val="auto"/>
          <w:sz w:val="32"/>
          <w:szCs w:val="32"/>
        </w:rPr>
        <w:t>“政务信息”“健康服务”“疫情防控”3个栏目，</w:t>
      </w:r>
      <w:r>
        <w:rPr>
          <w:rFonts w:hint="eastAsia" w:ascii="仿宋_GB2312" w:hAnsi="宋体" w:eastAsia="仿宋_GB2312" w:cs="宋体"/>
          <w:color w:val="auto"/>
          <w:sz w:val="32"/>
          <w:szCs w:val="32"/>
        </w:rPr>
        <w:t>全年发布信息2549条，其中疫情防治、防疫先锋、共战疫情、疫情权威发布相关信息1537条。开展市民寻访团进医院活动，开门纳谏，广泛征求意见建议。深入开展“作风监督热线”“作风监督面对面”“政风行风民主评议”等活动，参加作风监督热线3次、作风监督面对面2次、政风行风民主评议1次。参加市政府召开的新闻发布会13次。积极参与“12345”市民服务热线接听，通过线上线下联动，增进与公众的互动交流。</w:t>
      </w:r>
    </w:p>
    <w:p>
      <w:pPr>
        <w:pStyle w:val="5"/>
        <w:widowControl/>
        <w:spacing w:beforeAutospacing="0" w:afterAutospacing="0" w:line="555" w:lineRule="atLeast"/>
        <w:rPr>
          <w:rFonts w:ascii="仿宋_GB2312" w:eastAsia="仿宋_GB2312"/>
          <w:color w:val="auto"/>
          <w:sz w:val="32"/>
          <w:szCs w:val="32"/>
        </w:rPr>
      </w:pPr>
      <w:r>
        <w:rPr>
          <w:color w:val="auto"/>
        </w:rPr>
        <w:drawing>
          <wp:inline distT="0" distB="0" distL="0" distR="0">
            <wp:extent cx="5204460" cy="6019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04460" cy="6019800"/>
                    </a:xfrm>
                    <a:prstGeom prst="rect">
                      <a:avLst/>
                    </a:prstGeom>
                    <a:noFill/>
                    <a:ln>
                      <a:noFill/>
                    </a:ln>
                  </pic:spPr>
                </pic:pic>
              </a:graphicData>
            </a:graphic>
          </wp:inline>
        </w:drawing>
      </w:r>
    </w:p>
    <w:p>
      <w:pPr>
        <w:pStyle w:val="5"/>
        <w:widowControl/>
        <w:spacing w:beforeAutospacing="0" w:afterAutospacing="0" w:line="555" w:lineRule="atLeast"/>
        <w:rPr>
          <w:rFonts w:hint="eastAsia" w:ascii="仿宋_GB2312" w:eastAsia="仿宋_GB2312"/>
          <w:color w:val="auto"/>
          <w:sz w:val="32"/>
          <w:szCs w:val="32"/>
        </w:rPr>
      </w:pPr>
      <w:r>
        <w:rPr>
          <w:color w:val="auto"/>
        </w:rPr>
        <w:drawing>
          <wp:inline distT="0" distB="0" distL="0" distR="0">
            <wp:extent cx="5274310" cy="655891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6558915"/>
                    </a:xfrm>
                    <a:prstGeom prst="rect">
                      <a:avLst/>
                    </a:prstGeom>
                    <a:noFill/>
                    <a:ln>
                      <a:noFill/>
                    </a:ln>
                  </pic:spPr>
                </pic:pic>
              </a:graphicData>
            </a:graphic>
          </wp:inline>
        </w:drawing>
      </w:r>
    </w:p>
    <w:p>
      <w:pPr>
        <w:spacing w:line="560" w:lineRule="exact"/>
        <w:ind w:left="105" w:leftChars="50" w:firstLine="480" w:firstLineChars="150"/>
        <w:rPr>
          <w:rFonts w:ascii="仿宋_GB2312" w:eastAsia="仿宋_GB2312"/>
          <w:color w:val="auto"/>
          <w:sz w:val="32"/>
          <w:szCs w:val="32"/>
        </w:rPr>
      </w:pPr>
      <w:r>
        <w:rPr>
          <w:rFonts w:hint="eastAsia" w:ascii="楷体_GB2312" w:eastAsia="楷体_GB2312"/>
          <w:color w:val="auto"/>
          <w:sz w:val="32"/>
          <w:szCs w:val="32"/>
        </w:rPr>
        <w:t>（四）强化依申请公开</w:t>
      </w:r>
      <w:r>
        <w:rPr>
          <w:rFonts w:hint="eastAsia" w:ascii="仿宋_GB2312" w:eastAsia="仿宋_GB2312"/>
          <w:color w:val="auto"/>
          <w:sz w:val="32"/>
          <w:szCs w:val="32"/>
        </w:rPr>
        <w:t>。建立健全依申请公开制度，提供在线申请、书面申请、现场申请等多种申请公开方式，严格按照规定办理时间要求进行答复，给予告知书。全年受理依申请公开20件，其中上年结转政府信息公开申请数量1件，予以公开5件，部分公开3件，本机关不掌握相关政府信息4件，其他处理件7件，全部办结，办结率100%。</w:t>
      </w:r>
    </w:p>
    <w:p>
      <w:pPr>
        <w:ind w:left="105" w:leftChars="50" w:firstLine="23" w:firstLineChars="11"/>
        <w:rPr>
          <w:rFonts w:ascii="仿宋_GB2312" w:eastAsia="仿宋_GB2312"/>
          <w:color w:val="auto"/>
          <w:sz w:val="32"/>
          <w:szCs w:val="32"/>
        </w:rPr>
      </w:pPr>
      <w:r>
        <w:drawing>
          <wp:inline distT="0" distB="0" distL="114300" distR="114300">
            <wp:extent cx="5269865" cy="3077210"/>
            <wp:effectExtent l="0" t="0" r="6985" b="889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5"/>
                    <a:stretch>
                      <a:fillRect/>
                    </a:stretch>
                  </pic:blipFill>
                  <pic:spPr>
                    <a:xfrm>
                      <a:off x="0" y="0"/>
                      <a:ext cx="5269865" cy="3077210"/>
                    </a:xfrm>
                    <a:prstGeom prst="rect">
                      <a:avLst/>
                    </a:prstGeom>
                    <a:noFill/>
                    <a:ln>
                      <a:noFill/>
                    </a:ln>
                  </pic:spPr>
                </pic:pic>
              </a:graphicData>
            </a:graphic>
          </wp:inline>
        </w:drawing>
      </w:r>
      <w:bookmarkStart w:id="1" w:name="_GoBack"/>
      <w:bookmarkEnd w:id="1"/>
    </w:p>
    <w:p>
      <w:pPr>
        <w:pStyle w:val="5"/>
        <w:widowControl/>
        <w:spacing w:beforeAutospacing="0" w:afterAutospacing="0" w:line="555" w:lineRule="atLeast"/>
        <w:ind w:firstLine="645"/>
        <w:rPr>
          <w:rFonts w:ascii="仿宋_GB2312" w:eastAsia="仿宋_GB2312"/>
          <w:color w:val="auto"/>
          <w:sz w:val="32"/>
          <w:szCs w:val="32"/>
        </w:rPr>
      </w:pPr>
      <w:r>
        <w:rPr>
          <w:rFonts w:hint="eastAsia" w:ascii="楷体_GB2312" w:eastAsia="楷体_GB2312"/>
          <w:color w:val="auto"/>
          <w:sz w:val="32"/>
          <w:szCs w:val="32"/>
        </w:rPr>
        <w:t>（五）加强政策解读。</w:t>
      </w:r>
      <w:r>
        <w:rPr>
          <w:rFonts w:hint="eastAsia" w:ascii="仿宋_GB2312" w:eastAsia="仿宋_GB2312"/>
          <w:color w:val="auto"/>
          <w:sz w:val="32"/>
          <w:szCs w:val="32"/>
        </w:rPr>
        <w:t>按照“谁起草、谁解读”的原则，对主动公开的涉及重大民生或群众利益的政策文件，落实政策性文件与解读方案同步组织、同步审议、同步发布机制，在济南市卫生健康委官网发布政策解读27件。同时，强化解读方式的多样性，加大用群众通俗易懂的一图读懂等进行解读，全年用一图读懂解读政策7篇。</w:t>
      </w:r>
    </w:p>
    <w:p>
      <w:pPr>
        <w:pStyle w:val="5"/>
        <w:widowControl/>
        <w:spacing w:beforeAutospacing="0" w:afterAutospacing="0" w:line="555" w:lineRule="atLeast"/>
        <w:rPr>
          <w:rFonts w:ascii="仿宋" w:hAnsi="仿宋" w:eastAsia="仿宋" w:cs="仿宋"/>
          <w:color w:val="auto"/>
          <w:sz w:val="31"/>
          <w:szCs w:val="31"/>
        </w:rPr>
      </w:pPr>
      <w:r>
        <w:rPr>
          <w:color w:val="auto"/>
        </w:rPr>
        <w:drawing>
          <wp:inline distT="0" distB="0" distL="0" distR="0">
            <wp:extent cx="5227320" cy="2514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7320" cy="2514600"/>
                    </a:xfrm>
                    <a:prstGeom prst="rect">
                      <a:avLst/>
                    </a:prstGeom>
                    <a:noFill/>
                    <a:ln>
                      <a:noFill/>
                    </a:ln>
                  </pic:spPr>
                </pic:pic>
              </a:graphicData>
            </a:graphic>
          </wp:inline>
        </w:drawing>
      </w:r>
    </w:p>
    <w:p>
      <w:pPr>
        <w:pStyle w:val="5"/>
        <w:widowControl/>
        <w:spacing w:beforeAutospacing="0" w:afterAutospacing="0" w:line="555" w:lineRule="atLeast"/>
        <w:rPr>
          <w:rFonts w:ascii="微软雅黑" w:hAnsi="微软雅黑" w:eastAsia="仿宋" w:cs="微软雅黑"/>
          <w:color w:val="auto"/>
        </w:rPr>
      </w:pPr>
      <w:r>
        <w:rPr>
          <w:color w:val="auto"/>
        </w:rPr>
        <w:drawing>
          <wp:inline distT="0" distB="0" distL="0" distR="0">
            <wp:extent cx="5234940" cy="225552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34940" cy="2255520"/>
                    </a:xfrm>
                    <a:prstGeom prst="rect">
                      <a:avLst/>
                    </a:prstGeom>
                    <a:noFill/>
                    <a:ln>
                      <a:noFill/>
                    </a:ln>
                  </pic:spPr>
                </pic:pic>
              </a:graphicData>
            </a:graphic>
          </wp:inline>
        </w:drawing>
      </w:r>
    </w:p>
    <w:p>
      <w:pPr>
        <w:spacing w:line="560" w:lineRule="exact"/>
        <w:ind w:left="105" w:leftChars="50" w:firstLine="480" w:firstLineChars="150"/>
        <w:rPr>
          <w:rFonts w:ascii="仿宋_GB2312" w:eastAsia="仿宋_GB2312"/>
          <w:color w:val="auto"/>
          <w:sz w:val="32"/>
          <w:szCs w:val="32"/>
        </w:rPr>
      </w:pPr>
      <w:r>
        <w:rPr>
          <w:rFonts w:hint="eastAsia" w:ascii="楷体_GB2312" w:eastAsia="楷体_GB2312"/>
          <w:color w:val="auto"/>
          <w:sz w:val="32"/>
          <w:szCs w:val="32"/>
        </w:rPr>
        <w:t>（六）加强整改落实</w:t>
      </w:r>
      <w:r>
        <w:rPr>
          <w:rFonts w:hint="eastAsia" w:ascii="仿宋_GB2312" w:eastAsia="仿宋_GB2312"/>
          <w:color w:val="auto"/>
          <w:sz w:val="32"/>
          <w:szCs w:val="32"/>
        </w:rPr>
        <w:t>。认真落实市政府办公厅每两月对政府网站的自查评估，并严格按照评估结果反馈，及时对评估指出的问题逐项研究，查清原因，及时解决。</w:t>
      </w:r>
    </w:p>
    <w:p>
      <w:pPr>
        <w:rPr>
          <w:rFonts w:ascii="等线" w:eastAsia="宋体"/>
          <w:color w:val="auto"/>
          <w:szCs w:val="21"/>
        </w:rPr>
      </w:pPr>
    </w:p>
    <w:p>
      <w:pPr>
        <w:pStyle w:val="5"/>
        <w:widowControl/>
        <w:shd w:val="clear" w:color="auto" w:fill="FFFFFF"/>
        <w:spacing w:beforeAutospacing="0" w:after="240" w:afterAutospacing="0"/>
        <w:ind w:firstLine="640"/>
        <w:jc w:val="both"/>
        <w:rPr>
          <w:rFonts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t>二、主动公开政府信息情况</w:t>
      </w:r>
    </w:p>
    <w:tbl>
      <w:tblPr>
        <w:tblStyle w:val="6"/>
        <w:tblW w:w="0" w:type="auto"/>
        <w:jc w:val="center"/>
        <w:tblLayout w:type="fixed"/>
        <w:tblCellMar>
          <w:top w:w="0" w:type="dxa"/>
          <w:left w:w="0" w:type="dxa"/>
          <w:bottom w:w="0" w:type="dxa"/>
          <w:right w:w="0" w:type="dxa"/>
        </w:tblCellMar>
      </w:tblPr>
      <w:tblGrid>
        <w:gridCol w:w="3320"/>
        <w:gridCol w:w="1967"/>
        <w:gridCol w:w="1769"/>
        <w:gridCol w:w="1843"/>
      </w:tblGrid>
      <w:tr>
        <w:tblPrEx>
          <w:tblCellMar>
            <w:top w:w="0" w:type="dxa"/>
            <w:left w:w="0" w:type="dxa"/>
            <w:bottom w:w="0" w:type="dxa"/>
            <w:right w:w="0" w:type="dxa"/>
          </w:tblCellMar>
        </w:tblPrEx>
        <w:trPr>
          <w:trHeight w:val="594" w:hRule="atLeast"/>
          <w:jc w:val="center"/>
        </w:trPr>
        <w:tc>
          <w:tcPr>
            <w:tcW w:w="8899" w:type="dxa"/>
            <w:gridSpan w:val="4"/>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sz w:val="24"/>
              </w:rPr>
            </w:pPr>
            <w:r>
              <w:rPr>
                <w:rFonts w:hint="eastAsia" w:ascii="宋体" w:hAnsi="宋体"/>
                <w:color w:val="auto"/>
                <w:kern w:val="0"/>
                <w:sz w:val="24"/>
              </w:rPr>
              <w:t>第二十条第（一）项</w:t>
            </w:r>
          </w:p>
        </w:tc>
      </w:tr>
      <w:tr>
        <w:tblPrEx>
          <w:tblCellMar>
            <w:top w:w="0" w:type="dxa"/>
            <w:left w:w="0" w:type="dxa"/>
            <w:bottom w:w="0" w:type="dxa"/>
            <w:right w:w="0" w:type="dxa"/>
          </w:tblCellMar>
        </w:tblPrEx>
        <w:trPr>
          <w:trHeight w:val="866" w:hRule="atLeast"/>
          <w:jc w:val="center"/>
        </w:trPr>
        <w:tc>
          <w:tcPr>
            <w:tcW w:w="332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信息内容</w:t>
            </w:r>
          </w:p>
        </w:tc>
        <w:tc>
          <w:tcPr>
            <w:tcW w:w="196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本年新制作数量</w:t>
            </w:r>
          </w:p>
        </w:tc>
        <w:tc>
          <w:tcPr>
            <w:tcW w:w="176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本年新</w:t>
            </w:r>
            <w:r>
              <w:rPr>
                <w:rFonts w:hint="eastAsia" w:ascii="宋体" w:hAnsi="宋体"/>
                <w:color w:val="auto"/>
                <w:kern w:val="0"/>
                <w:sz w:val="24"/>
              </w:rPr>
              <w:br w:type="textWrapping"/>
            </w:r>
            <w:r>
              <w:rPr>
                <w:rFonts w:hint="eastAsia" w:ascii="宋体" w:hAnsi="宋体"/>
                <w:color w:val="auto"/>
                <w:kern w:val="0"/>
                <w:sz w:val="24"/>
              </w:rPr>
              <w:t>公开数量</w:t>
            </w:r>
          </w:p>
        </w:tc>
        <w:tc>
          <w:tcPr>
            <w:tcW w:w="184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color w:val="auto"/>
                <w:kern w:val="0"/>
                <w:sz w:val="24"/>
              </w:rPr>
            </w:pPr>
            <w:r>
              <w:rPr>
                <w:rFonts w:hint="eastAsia" w:ascii="宋体" w:hAnsi="宋体"/>
                <w:color w:val="auto"/>
                <w:kern w:val="0"/>
                <w:sz w:val="24"/>
              </w:rPr>
              <w:t>对外公开</w:t>
            </w:r>
          </w:p>
          <w:p>
            <w:pPr>
              <w:widowControl/>
              <w:jc w:val="center"/>
              <w:rPr>
                <w:rFonts w:ascii="宋体" w:hAnsi="宋体" w:eastAsia="宋体"/>
                <w:color w:val="auto"/>
                <w:kern w:val="0"/>
                <w:sz w:val="24"/>
              </w:rPr>
            </w:pPr>
            <w:r>
              <w:rPr>
                <w:rFonts w:hint="eastAsia" w:ascii="宋体" w:hAnsi="宋体"/>
                <w:color w:val="auto"/>
                <w:kern w:val="0"/>
                <w:sz w:val="24"/>
              </w:rPr>
              <w:t>总数量</w:t>
            </w:r>
          </w:p>
        </w:tc>
      </w:tr>
      <w:tr>
        <w:tblPrEx>
          <w:tblCellMar>
            <w:top w:w="0" w:type="dxa"/>
            <w:left w:w="0" w:type="dxa"/>
            <w:bottom w:w="0" w:type="dxa"/>
            <w:right w:w="0" w:type="dxa"/>
          </w:tblCellMar>
        </w:tblPrEx>
        <w:trPr>
          <w:trHeight w:val="399" w:hRule="atLeast"/>
          <w:jc w:val="center"/>
        </w:trPr>
        <w:tc>
          <w:tcPr>
            <w:tcW w:w="332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left"/>
              <w:rPr>
                <w:rFonts w:ascii="宋体" w:hAnsi="宋体" w:eastAsia="宋体"/>
                <w:color w:val="auto"/>
                <w:kern w:val="0"/>
                <w:sz w:val="24"/>
              </w:rPr>
            </w:pPr>
            <w:r>
              <w:rPr>
                <w:rFonts w:hint="eastAsia" w:ascii="宋体" w:hAnsi="宋体"/>
                <w:color w:val="auto"/>
                <w:kern w:val="0"/>
                <w:sz w:val="24"/>
              </w:rPr>
              <w:t>规章</w:t>
            </w:r>
          </w:p>
        </w:tc>
        <w:tc>
          <w:tcPr>
            <w:tcW w:w="19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 xml:space="preserve">0  </w:t>
            </w:r>
          </w:p>
        </w:tc>
        <w:tc>
          <w:tcPr>
            <w:tcW w:w="17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 xml:space="preserve">0 </w:t>
            </w:r>
          </w:p>
        </w:tc>
        <w:tc>
          <w:tcPr>
            <w:tcW w:w="184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 xml:space="preserve">0 </w:t>
            </w:r>
          </w:p>
        </w:tc>
      </w:tr>
      <w:tr>
        <w:tblPrEx>
          <w:tblCellMar>
            <w:top w:w="0" w:type="dxa"/>
            <w:left w:w="0" w:type="dxa"/>
            <w:bottom w:w="0" w:type="dxa"/>
            <w:right w:w="0" w:type="dxa"/>
          </w:tblCellMar>
        </w:tblPrEx>
        <w:trPr>
          <w:trHeight w:val="404" w:hRule="atLeast"/>
          <w:jc w:val="center"/>
        </w:trPr>
        <w:tc>
          <w:tcPr>
            <w:tcW w:w="332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left"/>
              <w:rPr>
                <w:rFonts w:ascii="宋体" w:hAnsi="宋体" w:eastAsia="宋体"/>
                <w:color w:val="auto"/>
                <w:kern w:val="0"/>
                <w:sz w:val="24"/>
              </w:rPr>
            </w:pPr>
            <w:r>
              <w:rPr>
                <w:rFonts w:hint="eastAsia" w:ascii="宋体" w:hAnsi="宋体"/>
                <w:color w:val="auto"/>
                <w:kern w:val="0"/>
                <w:sz w:val="24"/>
              </w:rPr>
              <w:t>规范性文件</w:t>
            </w:r>
          </w:p>
        </w:tc>
        <w:tc>
          <w:tcPr>
            <w:tcW w:w="19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 xml:space="preserve">0  </w:t>
            </w:r>
          </w:p>
        </w:tc>
        <w:tc>
          <w:tcPr>
            <w:tcW w:w="17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 xml:space="preserve">0 </w:t>
            </w:r>
          </w:p>
        </w:tc>
        <w:tc>
          <w:tcPr>
            <w:tcW w:w="184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 xml:space="preserve">0 </w:t>
            </w:r>
          </w:p>
        </w:tc>
      </w:tr>
      <w:tr>
        <w:tblPrEx>
          <w:tblCellMar>
            <w:top w:w="0" w:type="dxa"/>
            <w:left w:w="0" w:type="dxa"/>
            <w:bottom w:w="0" w:type="dxa"/>
            <w:right w:w="0" w:type="dxa"/>
          </w:tblCellMar>
        </w:tblPrEx>
        <w:trPr>
          <w:trHeight w:val="480" w:hRule="atLeast"/>
          <w:jc w:val="center"/>
        </w:trPr>
        <w:tc>
          <w:tcPr>
            <w:tcW w:w="8899" w:type="dxa"/>
            <w:gridSpan w:val="4"/>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第二十条第（五）项</w:t>
            </w:r>
          </w:p>
        </w:tc>
      </w:tr>
      <w:tr>
        <w:tblPrEx>
          <w:tblCellMar>
            <w:top w:w="0" w:type="dxa"/>
            <w:left w:w="0" w:type="dxa"/>
            <w:bottom w:w="0" w:type="dxa"/>
            <w:right w:w="0" w:type="dxa"/>
          </w:tblCellMar>
        </w:tblPrEx>
        <w:trPr>
          <w:trHeight w:val="516" w:hRule="atLeast"/>
          <w:jc w:val="center"/>
        </w:trPr>
        <w:tc>
          <w:tcPr>
            <w:tcW w:w="332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信息内容</w:t>
            </w:r>
          </w:p>
        </w:tc>
        <w:tc>
          <w:tcPr>
            <w:tcW w:w="196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上一年项目数量</w:t>
            </w:r>
          </w:p>
        </w:tc>
        <w:tc>
          <w:tcPr>
            <w:tcW w:w="176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本年增/减</w:t>
            </w:r>
          </w:p>
        </w:tc>
        <w:tc>
          <w:tcPr>
            <w:tcW w:w="184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处理决定数量</w:t>
            </w:r>
          </w:p>
        </w:tc>
      </w:tr>
      <w:tr>
        <w:tblPrEx>
          <w:tblCellMar>
            <w:top w:w="0" w:type="dxa"/>
            <w:left w:w="0" w:type="dxa"/>
            <w:bottom w:w="0" w:type="dxa"/>
            <w:right w:w="0" w:type="dxa"/>
          </w:tblCellMar>
        </w:tblPrEx>
        <w:trPr>
          <w:trHeight w:val="455" w:hRule="atLeast"/>
          <w:jc w:val="center"/>
        </w:trPr>
        <w:tc>
          <w:tcPr>
            <w:tcW w:w="332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left"/>
              <w:rPr>
                <w:rFonts w:ascii="宋体" w:hAnsi="宋体" w:eastAsia="宋体"/>
                <w:color w:val="auto"/>
                <w:kern w:val="0"/>
                <w:sz w:val="24"/>
              </w:rPr>
            </w:pPr>
            <w:r>
              <w:rPr>
                <w:rFonts w:hint="eastAsia" w:ascii="宋体" w:hAnsi="宋体"/>
                <w:color w:val="auto"/>
                <w:kern w:val="0"/>
                <w:sz w:val="24"/>
              </w:rPr>
              <w:t>行政许可</w:t>
            </w:r>
          </w:p>
        </w:tc>
        <w:tc>
          <w:tcPr>
            <w:tcW w:w="19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10399</w:t>
            </w:r>
          </w:p>
        </w:tc>
        <w:tc>
          <w:tcPr>
            <w:tcW w:w="17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textAlignment w:val="center"/>
              <w:rPr>
                <w:rFonts w:ascii="宋体" w:hAnsi="宋体" w:eastAsia="宋体" w:cs="宋体"/>
                <w:color w:val="auto"/>
                <w:sz w:val="22"/>
                <w:szCs w:val="22"/>
              </w:rPr>
            </w:pPr>
            <w:r>
              <w:rPr>
                <w:rFonts w:hint="eastAsia" w:ascii="宋体" w:hAnsi="宋体" w:cs="宋体"/>
                <w:color w:val="auto"/>
                <w:sz w:val="22"/>
                <w:szCs w:val="22"/>
              </w:rPr>
              <w:t>减5678</w:t>
            </w:r>
          </w:p>
        </w:tc>
        <w:tc>
          <w:tcPr>
            <w:tcW w:w="184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textAlignment w:val="center"/>
              <w:rPr>
                <w:rFonts w:ascii="宋体" w:hAnsi="宋体" w:eastAsia="宋体" w:cs="宋体"/>
                <w:color w:val="auto"/>
                <w:sz w:val="22"/>
                <w:szCs w:val="22"/>
              </w:rPr>
            </w:pPr>
            <w:r>
              <w:rPr>
                <w:rFonts w:hint="eastAsia" w:ascii="宋体" w:hAnsi="宋体" w:cs="宋体"/>
                <w:color w:val="auto"/>
                <w:sz w:val="22"/>
                <w:szCs w:val="22"/>
              </w:rPr>
              <w:t>4721</w:t>
            </w:r>
          </w:p>
        </w:tc>
      </w:tr>
      <w:tr>
        <w:tblPrEx>
          <w:tblCellMar>
            <w:top w:w="0" w:type="dxa"/>
            <w:left w:w="0" w:type="dxa"/>
            <w:bottom w:w="0" w:type="dxa"/>
            <w:right w:w="0" w:type="dxa"/>
          </w:tblCellMar>
        </w:tblPrEx>
        <w:trPr>
          <w:trHeight w:val="550" w:hRule="atLeast"/>
          <w:jc w:val="center"/>
        </w:trPr>
        <w:tc>
          <w:tcPr>
            <w:tcW w:w="332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left"/>
              <w:rPr>
                <w:rFonts w:ascii="宋体" w:hAnsi="宋体" w:eastAsia="宋体"/>
                <w:color w:val="auto"/>
                <w:kern w:val="0"/>
                <w:sz w:val="24"/>
              </w:rPr>
            </w:pPr>
            <w:r>
              <w:rPr>
                <w:rFonts w:hint="eastAsia" w:ascii="宋体" w:hAnsi="宋体"/>
                <w:color w:val="auto"/>
                <w:kern w:val="0"/>
                <w:sz w:val="24"/>
              </w:rPr>
              <w:t>其他对外管理服务事项</w:t>
            </w:r>
          </w:p>
        </w:tc>
        <w:tc>
          <w:tcPr>
            <w:tcW w:w="19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eastAsia="宋体"/>
                <w:color w:val="auto"/>
                <w:kern w:val="0"/>
                <w:sz w:val="24"/>
              </w:rPr>
              <w:t>0</w:t>
            </w:r>
          </w:p>
        </w:tc>
        <w:tc>
          <w:tcPr>
            <w:tcW w:w="17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0</w:t>
            </w:r>
          </w:p>
        </w:tc>
        <w:tc>
          <w:tcPr>
            <w:tcW w:w="184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0</w:t>
            </w:r>
          </w:p>
        </w:tc>
      </w:tr>
      <w:tr>
        <w:tblPrEx>
          <w:tblCellMar>
            <w:top w:w="0" w:type="dxa"/>
            <w:left w:w="0" w:type="dxa"/>
            <w:bottom w:w="0" w:type="dxa"/>
            <w:right w:w="0" w:type="dxa"/>
          </w:tblCellMar>
        </w:tblPrEx>
        <w:trPr>
          <w:trHeight w:val="497" w:hRule="atLeast"/>
          <w:jc w:val="center"/>
        </w:trPr>
        <w:tc>
          <w:tcPr>
            <w:tcW w:w="8899" w:type="dxa"/>
            <w:gridSpan w:val="4"/>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第二十条第（六）项</w:t>
            </w:r>
          </w:p>
        </w:tc>
      </w:tr>
      <w:tr>
        <w:tblPrEx>
          <w:tblCellMar>
            <w:top w:w="0" w:type="dxa"/>
            <w:left w:w="0" w:type="dxa"/>
            <w:bottom w:w="0" w:type="dxa"/>
            <w:right w:w="0" w:type="dxa"/>
          </w:tblCellMar>
        </w:tblPrEx>
        <w:trPr>
          <w:trHeight w:val="547" w:hRule="atLeast"/>
          <w:jc w:val="center"/>
        </w:trPr>
        <w:tc>
          <w:tcPr>
            <w:tcW w:w="332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信息内容</w:t>
            </w:r>
          </w:p>
        </w:tc>
        <w:tc>
          <w:tcPr>
            <w:tcW w:w="196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上一年项目数量</w:t>
            </w:r>
          </w:p>
        </w:tc>
        <w:tc>
          <w:tcPr>
            <w:tcW w:w="176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本年增/减</w:t>
            </w:r>
          </w:p>
        </w:tc>
        <w:tc>
          <w:tcPr>
            <w:tcW w:w="184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处理决定数量</w:t>
            </w:r>
          </w:p>
        </w:tc>
      </w:tr>
      <w:tr>
        <w:tblPrEx>
          <w:tblCellMar>
            <w:top w:w="0" w:type="dxa"/>
            <w:left w:w="0" w:type="dxa"/>
            <w:bottom w:w="0" w:type="dxa"/>
            <w:right w:w="0" w:type="dxa"/>
          </w:tblCellMar>
        </w:tblPrEx>
        <w:trPr>
          <w:trHeight w:val="430" w:hRule="atLeast"/>
          <w:jc w:val="center"/>
        </w:trPr>
        <w:tc>
          <w:tcPr>
            <w:tcW w:w="332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left"/>
              <w:rPr>
                <w:rFonts w:ascii="宋体" w:hAnsi="宋体" w:eastAsia="宋体"/>
                <w:color w:val="auto"/>
                <w:kern w:val="0"/>
                <w:sz w:val="24"/>
              </w:rPr>
            </w:pPr>
            <w:r>
              <w:rPr>
                <w:rFonts w:hint="eastAsia" w:ascii="宋体" w:hAnsi="宋体"/>
                <w:color w:val="auto"/>
                <w:kern w:val="0"/>
                <w:sz w:val="24"/>
              </w:rPr>
              <w:t>行政处罚</w:t>
            </w:r>
          </w:p>
        </w:tc>
        <w:tc>
          <w:tcPr>
            <w:tcW w:w="19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3438</w:t>
            </w:r>
          </w:p>
        </w:tc>
        <w:tc>
          <w:tcPr>
            <w:tcW w:w="17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减少2367</w:t>
            </w:r>
          </w:p>
        </w:tc>
        <w:tc>
          <w:tcPr>
            <w:tcW w:w="184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1071</w:t>
            </w:r>
          </w:p>
        </w:tc>
      </w:tr>
      <w:tr>
        <w:tblPrEx>
          <w:tblCellMar>
            <w:top w:w="0" w:type="dxa"/>
            <w:left w:w="0" w:type="dxa"/>
            <w:bottom w:w="0" w:type="dxa"/>
            <w:right w:w="0" w:type="dxa"/>
          </w:tblCellMar>
        </w:tblPrEx>
        <w:trPr>
          <w:trHeight w:val="409" w:hRule="atLeast"/>
          <w:jc w:val="center"/>
        </w:trPr>
        <w:tc>
          <w:tcPr>
            <w:tcW w:w="332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left"/>
              <w:rPr>
                <w:rFonts w:ascii="宋体" w:hAnsi="宋体" w:eastAsia="宋体"/>
                <w:color w:val="auto"/>
                <w:kern w:val="0"/>
                <w:sz w:val="24"/>
              </w:rPr>
            </w:pPr>
            <w:r>
              <w:rPr>
                <w:rFonts w:hint="eastAsia" w:ascii="宋体" w:hAnsi="宋体"/>
                <w:color w:val="auto"/>
                <w:kern w:val="0"/>
                <w:sz w:val="24"/>
              </w:rPr>
              <w:t>行政强制</w:t>
            </w:r>
          </w:p>
        </w:tc>
        <w:tc>
          <w:tcPr>
            <w:tcW w:w="19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1</w:t>
            </w:r>
          </w:p>
        </w:tc>
        <w:tc>
          <w:tcPr>
            <w:tcW w:w="17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减1</w:t>
            </w:r>
          </w:p>
        </w:tc>
        <w:tc>
          <w:tcPr>
            <w:tcW w:w="184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0</w:t>
            </w:r>
          </w:p>
        </w:tc>
      </w:tr>
      <w:tr>
        <w:tblPrEx>
          <w:tblCellMar>
            <w:top w:w="0" w:type="dxa"/>
            <w:left w:w="0" w:type="dxa"/>
            <w:bottom w:w="0" w:type="dxa"/>
            <w:right w:w="0" w:type="dxa"/>
          </w:tblCellMar>
        </w:tblPrEx>
        <w:trPr>
          <w:trHeight w:val="474" w:hRule="atLeast"/>
          <w:jc w:val="center"/>
        </w:trPr>
        <w:tc>
          <w:tcPr>
            <w:tcW w:w="8899" w:type="dxa"/>
            <w:gridSpan w:val="4"/>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第二十条第（八）项</w:t>
            </w:r>
          </w:p>
        </w:tc>
      </w:tr>
      <w:tr>
        <w:tblPrEx>
          <w:tblCellMar>
            <w:top w:w="0" w:type="dxa"/>
            <w:left w:w="0" w:type="dxa"/>
            <w:bottom w:w="0" w:type="dxa"/>
            <w:right w:w="0" w:type="dxa"/>
          </w:tblCellMar>
        </w:tblPrEx>
        <w:trPr>
          <w:trHeight w:val="447" w:hRule="atLeast"/>
          <w:jc w:val="center"/>
        </w:trPr>
        <w:tc>
          <w:tcPr>
            <w:tcW w:w="332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信息内容</w:t>
            </w:r>
          </w:p>
        </w:tc>
        <w:tc>
          <w:tcPr>
            <w:tcW w:w="19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left"/>
              <w:rPr>
                <w:rFonts w:ascii="宋体" w:hAnsi="宋体" w:eastAsia="宋体"/>
                <w:color w:val="auto"/>
                <w:kern w:val="0"/>
                <w:sz w:val="24"/>
              </w:rPr>
            </w:pPr>
            <w:r>
              <w:rPr>
                <w:rFonts w:hint="eastAsia" w:ascii="宋体" w:hAnsi="宋体"/>
                <w:color w:val="auto"/>
                <w:kern w:val="0"/>
                <w:sz w:val="24"/>
              </w:rPr>
              <w:t>上一年项目数量</w:t>
            </w:r>
          </w:p>
        </w:tc>
        <w:tc>
          <w:tcPr>
            <w:tcW w:w="3612" w:type="dxa"/>
            <w:gridSpan w:val="2"/>
            <w:tcBorders>
              <w:top w:val="single" w:color="auto" w:sz="8" w:space="0"/>
              <w:left w:val="nil"/>
              <w:bottom w:val="single" w:color="auto" w:sz="8" w:space="0"/>
              <w:right w:val="single" w:color="000000"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本年增/减</w:t>
            </w:r>
          </w:p>
        </w:tc>
      </w:tr>
      <w:tr>
        <w:tblPrEx>
          <w:tblCellMar>
            <w:top w:w="0" w:type="dxa"/>
            <w:left w:w="0" w:type="dxa"/>
            <w:bottom w:w="0" w:type="dxa"/>
            <w:right w:w="0" w:type="dxa"/>
          </w:tblCellMar>
        </w:tblPrEx>
        <w:trPr>
          <w:trHeight w:val="440" w:hRule="atLeast"/>
          <w:jc w:val="center"/>
        </w:trPr>
        <w:tc>
          <w:tcPr>
            <w:tcW w:w="332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left"/>
              <w:rPr>
                <w:rFonts w:ascii="宋体" w:hAnsi="宋体" w:eastAsia="宋体"/>
                <w:color w:val="auto"/>
                <w:kern w:val="0"/>
                <w:sz w:val="24"/>
              </w:rPr>
            </w:pPr>
            <w:r>
              <w:rPr>
                <w:rFonts w:hint="eastAsia" w:ascii="宋体" w:hAnsi="宋体"/>
                <w:color w:val="auto"/>
                <w:kern w:val="0"/>
                <w:sz w:val="24"/>
              </w:rPr>
              <w:t>行政事业性收费</w:t>
            </w:r>
          </w:p>
        </w:tc>
        <w:tc>
          <w:tcPr>
            <w:tcW w:w="19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0</w:t>
            </w:r>
          </w:p>
        </w:tc>
        <w:tc>
          <w:tcPr>
            <w:tcW w:w="3612" w:type="dxa"/>
            <w:gridSpan w:val="2"/>
            <w:tcBorders>
              <w:top w:val="nil"/>
              <w:left w:val="nil"/>
              <w:bottom w:val="single" w:color="auto" w:sz="8" w:space="0"/>
              <w:right w:val="single" w:color="000000"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0</w:t>
            </w:r>
          </w:p>
        </w:tc>
      </w:tr>
      <w:tr>
        <w:tblPrEx>
          <w:tblCellMar>
            <w:top w:w="0" w:type="dxa"/>
            <w:left w:w="0" w:type="dxa"/>
            <w:bottom w:w="0" w:type="dxa"/>
            <w:right w:w="0" w:type="dxa"/>
          </w:tblCellMar>
        </w:tblPrEx>
        <w:trPr>
          <w:trHeight w:val="476" w:hRule="atLeast"/>
          <w:jc w:val="center"/>
        </w:trPr>
        <w:tc>
          <w:tcPr>
            <w:tcW w:w="8899" w:type="dxa"/>
            <w:gridSpan w:val="4"/>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第二十条第（九）项</w:t>
            </w:r>
          </w:p>
        </w:tc>
      </w:tr>
      <w:tr>
        <w:tblPrEx>
          <w:tblCellMar>
            <w:top w:w="0" w:type="dxa"/>
            <w:left w:w="0" w:type="dxa"/>
            <w:bottom w:w="0" w:type="dxa"/>
            <w:right w:w="0" w:type="dxa"/>
          </w:tblCellMar>
        </w:tblPrEx>
        <w:trPr>
          <w:trHeight w:val="427" w:hRule="atLeast"/>
          <w:jc w:val="center"/>
        </w:trPr>
        <w:tc>
          <w:tcPr>
            <w:tcW w:w="332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信息内容</w:t>
            </w:r>
          </w:p>
        </w:tc>
        <w:tc>
          <w:tcPr>
            <w:tcW w:w="19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采购项目数量</w:t>
            </w:r>
          </w:p>
        </w:tc>
        <w:tc>
          <w:tcPr>
            <w:tcW w:w="3612" w:type="dxa"/>
            <w:gridSpan w:val="2"/>
            <w:tcBorders>
              <w:top w:val="single" w:color="auto" w:sz="8" w:space="0"/>
              <w:left w:val="nil"/>
              <w:bottom w:val="single" w:color="auto" w:sz="8" w:space="0"/>
              <w:right w:val="single" w:color="000000" w:sz="8" w:space="0"/>
            </w:tcBorders>
            <w:shd w:val="clear" w:color="auto" w:fill="FFFFFF"/>
            <w:tcMar>
              <w:top w:w="0" w:type="dxa"/>
              <w:left w:w="108" w:type="dxa"/>
              <w:bottom w:w="0" w:type="dxa"/>
              <w:right w:w="108" w:type="dxa"/>
            </w:tcMar>
            <w:vAlign w:val="center"/>
          </w:tcPr>
          <w:p>
            <w:pPr>
              <w:widowControl/>
              <w:jc w:val="center"/>
              <w:rPr>
                <w:rFonts w:ascii="宋体" w:hAnsi="宋体" w:eastAsia="宋体"/>
                <w:color w:val="auto"/>
                <w:kern w:val="0"/>
                <w:sz w:val="24"/>
              </w:rPr>
            </w:pPr>
            <w:r>
              <w:rPr>
                <w:rFonts w:hint="eastAsia" w:ascii="宋体" w:hAnsi="宋体"/>
                <w:color w:val="auto"/>
                <w:kern w:val="0"/>
                <w:sz w:val="24"/>
              </w:rPr>
              <w:t>采购总金额</w:t>
            </w:r>
          </w:p>
        </w:tc>
      </w:tr>
      <w:tr>
        <w:tblPrEx>
          <w:tblCellMar>
            <w:top w:w="0" w:type="dxa"/>
            <w:left w:w="0" w:type="dxa"/>
            <w:bottom w:w="0" w:type="dxa"/>
            <w:right w:w="0" w:type="dxa"/>
          </w:tblCellMar>
        </w:tblPrEx>
        <w:trPr>
          <w:trHeight w:val="469" w:hRule="atLeast"/>
          <w:jc w:val="center"/>
        </w:trPr>
        <w:tc>
          <w:tcPr>
            <w:tcW w:w="332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widowControl/>
              <w:jc w:val="left"/>
              <w:rPr>
                <w:rFonts w:ascii="宋体" w:hAnsi="宋体" w:eastAsia="宋体"/>
                <w:color w:val="auto"/>
                <w:kern w:val="0"/>
                <w:sz w:val="24"/>
              </w:rPr>
            </w:pPr>
            <w:r>
              <w:rPr>
                <w:rFonts w:hint="eastAsia" w:ascii="宋体" w:hAnsi="宋体"/>
                <w:color w:val="auto"/>
                <w:kern w:val="0"/>
                <w:sz w:val="24"/>
              </w:rPr>
              <w:t>政府集中采购</w:t>
            </w:r>
          </w:p>
        </w:tc>
        <w:tc>
          <w:tcPr>
            <w:tcW w:w="196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jc w:val="center"/>
              <w:rPr>
                <w:rFonts w:ascii="宋体" w:hAnsi="宋体" w:eastAsia="宋体" w:cs="宋体"/>
                <w:color w:val="auto"/>
                <w:kern w:val="0"/>
                <w:sz w:val="24"/>
              </w:rPr>
            </w:pPr>
            <w:r>
              <w:rPr>
                <w:rFonts w:hint="eastAsia" w:ascii="宋体" w:hAnsi="宋体" w:cs="宋体"/>
                <w:color w:val="auto"/>
                <w:kern w:val="0"/>
                <w:sz w:val="24"/>
              </w:rPr>
              <w:t>39</w:t>
            </w:r>
          </w:p>
        </w:tc>
        <w:tc>
          <w:tcPr>
            <w:tcW w:w="3612" w:type="dxa"/>
            <w:gridSpan w:val="2"/>
            <w:tcBorders>
              <w:top w:val="nil"/>
              <w:left w:val="nil"/>
              <w:bottom w:val="single" w:color="auto" w:sz="8" w:space="0"/>
              <w:right w:val="single" w:color="000000" w:sz="8" w:space="0"/>
            </w:tcBorders>
            <w:shd w:val="clear" w:color="auto" w:fill="auto"/>
            <w:tcMar>
              <w:top w:w="0" w:type="dxa"/>
              <w:left w:w="108" w:type="dxa"/>
              <w:bottom w:w="0" w:type="dxa"/>
              <w:right w:w="108" w:type="dxa"/>
            </w:tcMar>
            <w:vAlign w:val="center"/>
          </w:tcPr>
          <w:p>
            <w:pPr>
              <w:jc w:val="center"/>
              <w:rPr>
                <w:rFonts w:ascii="宋体" w:hAnsi="宋体" w:eastAsia="宋体" w:cs="宋体"/>
                <w:color w:val="auto"/>
                <w:kern w:val="0"/>
                <w:sz w:val="24"/>
              </w:rPr>
            </w:pPr>
            <w:r>
              <w:rPr>
                <w:rFonts w:ascii="宋体" w:hAnsi="宋体" w:eastAsia="宋体" w:cs="宋体"/>
                <w:color w:val="auto"/>
                <w:sz w:val="24"/>
              </w:rPr>
              <w:t>7237.146</w:t>
            </w:r>
            <w:r>
              <w:rPr>
                <w:rFonts w:hint="eastAsia" w:ascii="宋体" w:hAnsi="宋体" w:cs="宋体"/>
                <w:color w:val="auto"/>
                <w:kern w:val="0"/>
                <w:sz w:val="24"/>
              </w:rPr>
              <w:t>万元</w:t>
            </w:r>
          </w:p>
        </w:tc>
      </w:tr>
    </w:tbl>
    <w:p>
      <w:pPr>
        <w:pStyle w:val="5"/>
        <w:widowControl/>
        <w:shd w:val="clear" w:color="auto" w:fill="FFFFFF"/>
        <w:spacing w:beforeAutospacing="0" w:afterAutospacing="0"/>
        <w:ind w:firstLine="420"/>
        <w:jc w:val="both"/>
        <w:rPr>
          <w:rFonts w:ascii="宋体" w:hAnsi="宋体" w:eastAsia="宋体" w:cs="宋体"/>
          <w:color w:val="auto"/>
        </w:rPr>
      </w:pPr>
    </w:p>
    <w:p>
      <w:pPr>
        <w:pStyle w:val="5"/>
        <w:widowControl/>
        <w:shd w:val="clear" w:color="auto" w:fill="FFFFFF"/>
        <w:spacing w:beforeAutospacing="0" w:after="240" w:afterAutospacing="0"/>
        <w:ind w:left="-199" w:leftChars="-95" w:firstLine="620"/>
        <w:jc w:val="both"/>
        <w:rPr>
          <w:rFonts w:ascii="黑体" w:hAnsi="黑体" w:eastAsia="黑体" w:cs="黑体"/>
          <w:b/>
          <w:color w:val="auto"/>
          <w:sz w:val="32"/>
          <w:szCs w:val="32"/>
          <w:shd w:val="clear" w:color="auto" w:fill="FFFFFF"/>
        </w:rPr>
      </w:pPr>
      <w:r>
        <w:rPr>
          <w:rFonts w:hint="eastAsia" w:ascii="黑体" w:hAnsi="黑体" w:eastAsia="黑体" w:cs="黑体"/>
          <w:b/>
          <w:color w:val="auto"/>
          <w:sz w:val="32"/>
          <w:szCs w:val="32"/>
          <w:shd w:val="clear" w:color="auto" w:fill="FFFFFF"/>
        </w:rPr>
        <w:t>三、收到和处理政府信息公开申请情况</w:t>
      </w:r>
    </w:p>
    <w:tbl>
      <w:tblPr>
        <w:tblStyle w:val="6"/>
        <w:tblW w:w="9019"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2"/>
        <w:gridCol w:w="1410"/>
        <w:gridCol w:w="2819"/>
        <w:gridCol w:w="845"/>
        <w:gridCol w:w="563"/>
        <w:gridCol w:w="563"/>
        <w:gridCol w:w="563"/>
        <w:gridCol w:w="563"/>
        <w:gridCol w:w="540"/>
        <w:gridCol w:w="63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2" w:hRule="atLeast"/>
          <w:jc w:val="center"/>
        </w:trPr>
        <w:tc>
          <w:tcPr>
            <w:tcW w:w="4751" w:type="dxa"/>
            <w:gridSpan w:val="3"/>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240" w:lineRule="exact"/>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（本列数据的勾稽关系为：第一项加第二项之和，</w:t>
            </w:r>
          </w:p>
          <w:p>
            <w:pPr>
              <w:widowControl/>
              <w:spacing w:line="240" w:lineRule="exact"/>
              <w:jc w:val="center"/>
              <w:rPr>
                <w:color w:val="auto"/>
              </w:rPr>
            </w:pPr>
            <w:r>
              <w:rPr>
                <w:rFonts w:hint="eastAsia" w:ascii="宋体" w:hAnsi="宋体" w:eastAsia="宋体" w:cs="宋体"/>
                <w:color w:val="auto"/>
                <w:kern w:val="0"/>
                <w:sz w:val="20"/>
                <w:szCs w:val="20"/>
              </w:rPr>
              <w:t>等于第三项加第四项之和）</w:t>
            </w:r>
          </w:p>
        </w:tc>
        <w:tc>
          <w:tcPr>
            <w:tcW w:w="4268" w:type="dxa"/>
            <w:gridSpan w:val="7"/>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240" w:lineRule="exact"/>
              <w:jc w:val="center"/>
              <w:rPr>
                <w:color w:val="auto"/>
              </w:rPr>
            </w:pPr>
            <w:r>
              <w:rPr>
                <w:rFonts w:hint="eastAsia" w:ascii="宋体" w:hAnsi="宋体" w:eastAsia="宋体" w:cs="宋体"/>
                <w:color w:val="auto"/>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3" w:hRule="atLeast"/>
          <w:jc w:val="center"/>
        </w:trPr>
        <w:tc>
          <w:tcPr>
            <w:tcW w:w="4751" w:type="dxa"/>
            <w:gridSpan w:val="3"/>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240" w:lineRule="exact"/>
              <w:jc w:val="center"/>
              <w:rPr>
                <w:rFonts w:ascii="宋体"/>
                <w:color w:val="auto"/>
                <w:sz w:val="24"/>
              </w:rPr>
            </w:pPr>
          </w:p>
        </w:tc>
        <w:tc>
          <w:tcPr>
            <w:tcW w:w="845"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40" w:lineRule="exact"/>
              <w:jc w:val="center"/>
              <w:rPr>
                <w:color w:val="auto"/>
              </w:rPr>
            </w:pPr>
            <w:r>
              <w:rPr>
                <w:rFonts w:hint="eastAsia" w:ascii="宋体" w:hAnsi="宋体" w:eastAsia="宋体" w:cs="宋体"/>
                <w:color w:val="auto"/>
                <w:kern w:val="0"/>
                <w:sz w:val="20"/>
                <w:szCs w:val="20"/>
              </w:rPr>
              <w:t>自然人</w:t>
            </w:r>
          </w:p>
        </w:tc>
        <w:tc>
          <w:tcPr>
            <w:tcW w:w="2792"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240" w:lineRule="exact"/>
              <w:jc w:val="center"/>
              <w:rPr>
                <w:color w:val="auto"/>
              </w:rPr>
            </w:pPr>
            <w:r>
              <w:rPr>
                <w:rFonts w:hint="eastAsia" w:ascii="宋体" w:hAnsi="宋体" w:eastAsia="宋体" w:cs="宋体"/>
                <w:color w:val="auto"/>
                <w:kern w:val="0"/>
                <w:sz w:val="20"/>
                <w:szCs w:val="20"/>
              </w:rPr>
              <w:t>法人或其他组织</w:t>
            </w:r>
          </w:p>
        </w:tc>
        <w:tc>
          <w:tcPr>
            <w:tcW w:w="631"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color w:val="auto"/>
              </w:rPr>
            </w:pPr>
            <w:r>
              <w:rPr>
                <w:rFonts w:hint="eastAsia" w:ascii="宋体" w:hAnsi="宋体" w:eastAsia="宋体" w:cs="宋体"/>
                <w:color w:val="auto"/>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04" w:hRule="atLeast"/>
          <w:jc w:val="center"/>
        </w:trPr>
        <w:tc>
          <w:tcPr>
            <w:tcW w:w="4751" w:type="dxa"/>
            <w:gridSpan w:val="3"/>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240" w:lineRule="exact"/>
              <w:jc w:val="center"/>
              <w:rPr>
                <w:rFonts w:ascii="宋体"/>
                <w:color w:val="auto"/>
                <w:sz w:val="24"/>
              </w:rPr>
            </w:pPr>
          </w:p>
        </w:tc>
        <w:tc>
          <w:tcPr>
            <w:tcW w:w="845" w:type="dxa"/>
            <w:vMerge w:val="continue"/>
            <w:tcBorders>
              <w:top w:val="nil"/>
              <w:left w:val="nil"/>
              <w:bottom w:val="single" w:color="auto" w:sz="8" w:space="0"/>
              <w:right w:val="single" w:color="auto" w:sz="8" w:space="0"/>
            </w:tcBorders>
            <w:tcMar>
              <w:left w:w="108" w:type="dxa"/>
              <w:right w:w="108" w:type="dxa"/>
            </w:tcMar>
            <w:vAlign w:val="center"/>
          </w:tcPr>
          <w:p>
            <w:pPr>
              <w:widowControl/>
              <w:spacing w:line="240" w:lineRule="exact"/>
              <w:jc w:val="center"/>
              <w:rPr>
                <w:rFonts w:ascii="宋体"/>
                <w:color w:val="auto"/>
                <w:sz w:val="24"/>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line="240" w:lineRule="exact"/>
              <w:ind w:left="-106" w:leftChars="-51" w:right="-107" w:rightChars="-51" w:hanging="1"/>
              <w:jc w:val="center"/>
              <w:rPr>
                <w:color w:val="auto"/>
              </w:rPr>
            </w:pPr>
            <w:r>
              <w:rPr>
                <w:rFonts w:hint="eastAsia" w:ascii="宋体" w:hAnsi="宋体" w:eastAsia="宋体" w:cs="宋体"/>
                <w:color w:val="auto"/>
                <w:kern w:val="0"/>
                <w:sz w:val="20"/>
                <w:szCs w:val="20"/>
              </w:rPr>
              <w:t>商业企业</w:t>
            </w: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line="240" w:lineRule="exact"/>
              <w:ind w:left="-107" w:leftChars="-51" w:right="-107" w:rightChars="-51"/>
              <w:jc w:val="center"/>
              <w:rPr>
                <w:color w:val="auto"/>
              </w:rPr>
            </w:pPr>
            <w:r>
              <w:rPr>
                <w:rFonts w:hint="eastAsia" w:ascii="宋体" w:hAnsi="宋体" w:eastAsia="宋体" w:cs="宋体"/>
                <w:color w:val="auto"/>
                <w:kern w:val="0"/>
                <w:sz w:val="20"/>
                <w:szCs w:val="20"/>
              </w:rPr>
              <w:t>科研机构</w:t>
            </w:r>
          </w:p>
        </w:tc>
        <w:tc>
          <w:tcPr>
            <w:tcW w:w="563"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240" w:lineRule="exact"/>
              <w:ind w:left="-107" w:leftChars="-51" w:right="-107" w:rightChars="-51"/>
              <w:jc w:val="center"/>
              <w:rPr>
                <w:color w:val="auto"/>
              </w:rPr>
            </w:pPr>
            <w:r>
              <w:rPr>
                <w:rFonts w:hint="eastAsia" w:ascii="宋体" w:hAnsi="宋体" w:eastAsia="宋体" w:cs="宋体"/>
                <w:color w:val="auto"/>
                <w:kern w:val="0"/>
                <w:sz w:val="20"/>
                <w:szCs w:val="20"/>
              </w:rPr>
              <w:t>社会公益组织</w:t>
            </w:r>
          </w:p>
        </w:tc>
        <w:tc>
          <w:tcPr>
            <w:tcW w:w="563"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240" w:lineRule="exact"/>
              <w:ind w:left="-106" w:leftChars="-51" w:right="-107" w:rightChars="-51" w:hanging="1"/>
              <w:jc w:val="center"/>
              <w:rPr>
                <w:color w:val="auto"/>
              </w:rPr>
            </w:pPr>
            <w:r>
              <w:rPr>
                <w:rFonts w:hint="eastAsia" w:ascii="宋体" w:hAnsi="宋体" w:eastAsia="宋体" w:cs="宋体"/>
                <w:color w:val="auto"/>
                <w:kern w:val="0"/>
                <w:sz w:val="20"/>
                <w:szCs w:val="20"/>
              </w:rPr>
              <w:t>法律服务机构</w:t>
            </w:r>
          </w:p>
        </w:tc>
        <w:tc>
          <w:tcPr>
            <w:tcW w:w="540"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240" w:lineRule="exact"/>
              <w:ind w:left="-63" w:leftChars="-30" w:right="-134" w:rightChars="-64"/>
              <w:jc w:val="center"/>
              <w:rPr>
                <w:color w:val="auto"/>
              </w:rPr>
            </w:pPr>
            <w:r>
              <w:rPr>
                <w:rFonts w:hint="eastAsia" w:ascii="宋体" w:hAnsi="宋体" w:eastAsia="宋体" w:cs="宋体"/>
                <w:color w:val="auto"/>
                <w:kern w:val="0"/>
                <w:sz w:val="20"/>
                <w:szCs w:val="20"/>
              </w:rPr>
              <w:t>其他</w:t>
            </w:r>
          </w:p>
        </w:tc>
        <w:tc>
          <w:tcPr>
            <w:tcW w:w="631"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jc w:val="center"/>
              <w:rPr>
                <w:rFonts w:ascii="宋体"/>
                <w:color w:val="auto"/>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41" w:hRule="atLeast"/>
          <w:jc w:val="center"/>
        </w:trPr>
        <w:tc>
          <w:tcPr>
            <w:tcW w:w="4751" w:type="dxa"/>
            <w:gridSpan w:val="3"/>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220" w:lineRule="exact"/>
              <w:rPr>
                <w:color w:val="auto"/>
              </w:rPr>
            </w:pPr>
            <w:r>
              <w:rPr>
                <w:rFonts w:hint="eastAsia" w:ascii="宋体" w:hAnsi="宋体" w:eastAsia="宋体" w:cs="宋体"/>
                <w:color w:val="auto"/>
                <w:kern w:val="0"/>
                <w:sz w:val="20"/>
                <w:szCs w:val="20"/>
              </w:rPr>
              <w:t>一、本年新收政府信息公开申请数量</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20</w:t>
            </w: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20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41" w:hRule="atLeast"/>
          <w:jc w:val="center"/>
        </w:trPr>
        <w:tc>
          <w:tcPr>
            <w:tcW w:w="4751" w:type="dxa"/>
            <w:gridSpan w:val="3"/>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220" w:lineRule="exact"/>
              <w:rPr>
                <w:color w:val="auto"/>
              </w:rPr>
            </w:pPr>
            <w:r>
              <w:rPr>
                <w:rFonts w:hint="eastAsia" w:ascii="宋体" w:hAnsi="宋体" w:eastAsia="宋体" w:cs="宋体"/>
                <w:color w:val="auto"/>
                <w:kern w:val="0"/>
                <w:sz w:val="20"/>
                <w:szCs w:val="20"/>
              </w:rPr>
              <w:t>二、上年结转政府信息公开申请数量</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1</w:t>
            </w: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41" w:hRule="atLeast"/>
          <w:jc w:val="center"/>
        </w:trPr>
        <w:tc>
          <w:tcPr>
            <w:tcW w:w="522"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after="180" w:line="220" w:lineRule="exact"/>
              <w:rPr>
                <w:color w:val="auto"/>
              </w:rPr>
            </w:pPr>
            <w:r>
              <w:rPr>
                <w:rFonts w:hint="eastAsia" w:ascii="宋体" w:hAnsi="宋体" w:eastAsia="宋体" w:cs="宋体"/>
                <w:color w:val="auto"/>
                <w:kern w:val="0"/>
                <w:sz w:val="20"/>
                <w:szCs w:val="20"/>
              </w:rPr>
              <w:t>三、本年度办理结果</w:t>
            </w:r>
          </w:p>
        </w:tc>
        <w:tc>
          <w:tcPr>
            <w:tcW w:w="4229" w:type="dxa"/>
            <w:gridSpan w:val="2"/>
            <w:tcBorders>
              <w:top w:val="nil"/>
              <w:left w:val="nil"/>
              <w:bottom w:val="single" w:color="auto" w:sz="8" w:space="0"/>
              <w:right w:val="single" w:color="auto" w:sz="8" w:space="0"/>
            </w:tcBorders>
            <w:tcMar>
              <w:left w:w="108" w:type="dxa"/>
              <w:right w:w="108" w:type="dxa"/>
            </w:tcMar>
            <w:vAlign w:val="center"/>
          </w:tcPr>
          <w:p>
            <w:pPr>
              <w:widowControl/>
              <w:spacing w:line="220" w:lineRule="exact"/>
              <w:rPr>
                <w:color w:val="auto"/>
              </w:rPr>
            </w:pPr>
            <w:r>
              <w:rPr>
                <w:rFonts w:ascii="楷体" w:hAnsi="楷体" w:eastAsia="楷体" w:cs="楷体"/>
                <w:color w:val="auto"/>
                <w:kern w:val="0"/>
                <w:sz w:val="20"/>
                <w:szCs w:val="20"/>
              </w:rPr>
              <w:t>（一）予以公开</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5</w:t>
            </w: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41" w:hRule="atLeas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220" w:lineRule="exact"/>
              <w:rPr>
                <w:rFonts w:ascii="宋体"/>
                <w:color w:val="auto"/>
                <w:sz w:val="24"/>
              </w:rPr>
            </w:pPr>
          </w:p>
        </w:tc>
        <w:tc>
          <w:tcPr>
            <w:tcW w:w="4229" w:type="dxa"/>
            <w:gridSpan w:val="2"/>
            <w:tcBorders>
              <w:top w:val="nil"/>
              <w:left w:val="nil"/>
              <w:bottom w:val="single" w:color="auto" w:sz="8" w:space="0"/>
              <w:right w:val="single" w:color="auto" w:sz="8" w:space="0"/>
            </w:tcBorders>
            <w:tcMar>
              <w:left w:w="108" w:type="dxa"/>
              <w:right w:w="108" w:type="dxa"/>
            </w:tcMar>
            <w:vAlign w:val="center"/>
          </w:tcPr>
          <w:p>
            <w:pPr>
              <w:widowControl/>
              <w:spacing w:line="220" w:lineRule="exact"/>
              <w:rPr>
                <w:color w:val="auto"/>
              </w:rPr>
            </w:pPr>
            <w:r>
              <w:rPr>
                <w:rFonts w:hint="eastAsia" w:ascii="楷体" w:hAnsi="楷体" w:eastAsia="楷体" w:cs="楷体"/>
                <w:color w:val="auto"/>
                <w:kern w:val="0"/>
                <w:sz w:val="20"/>
                <w:szCs w:val="20"/>
              </w:rPr>
              <w:t>（二）部分公开（区分处理的，只计这一情形，不计其他情形）</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3</w:t>
            </w: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07" w:leftChars="-51"/>
              <w:rPr>
                <w:color w:val="auto"/>
              </w:rPr>
            </w:pPr>
            <w:r>
              <w:rPr>
                <w:rFonts w:hint="eastAsia" w:ascii="楷体" w:hAnsi="楷体" w:eastAsia="楷体" w:cs="楷体"/>
                <w:color w:val="auto"/>
                <w:kern w:val="0"/>
                <w:sz w:val="20"/>
                <w:szCs w:val="20"/>
              </w:rPr>
              <w:t>（三）不予公开</w:t>
            </w: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1.属于国家秘密</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olor w:val="auto"/>
                <w:sz w:val="24"/>
              </w:rPr>
            </w:pP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2.其他法律行政法规禁止公开</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olor w:val="auto"/>
                <w:sz w:val="24"/>
              </w:rPr>
            </w:pP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3.危及“三安全一稳定”</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olor w:val="auto"/>
                <w:sz w:val="24"/>
              </w:rPr>
            </w:pP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4.保护第三方合法权益</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olor w:val="auto"/>
                <w:sz w:val="24"/>
              </w:rPr>
            </w:pP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5.属于三类内部事务信息</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olor w:val="auto"/>
                <w:sz w:val="24"/>
              </w:rPr>
            </w:pP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6.属于四类过程性信息</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olor w:val="auto"/>
                <w:sz w:val="24"/>
              </w:rPr>
            </w:pP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7.属于行政执法案卷</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olor w:val="auto"/>
                <w:sz w:val="24"/>
              </w:rPr>
            </w:pP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8.属于行政查询事项</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07" w:leftChars="-51"/>
              <w:rPr>
                <w:color w:val="auto"/>
              </w:rPr>
            </w:pPr>
            <w:r>
              <w:rPr>
                <w:rFonts w:hint="eastAsia" w:ascii="楷体" w:hAnsi="楷体" w:eastAsia="楷体" w:cs="楷体"/>
                <w:color w:val="auto"/>
                <w:kern w:val="0"/>
                <w:sz w:val="20"/>
                <w:szCs w:val="20"/>
              </w:rPr>
              <w:t>（四）无法提供</w:t>
            </w: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1.本机关不掌握相关政府信息</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4</w:t>
            </w: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ind w:left="-107" w:leftChars="-51"/>
              <w:rPr>
                <w:rFonts w:ascii="宋体"/>
                <w:color w:val="auto"/>
                <w:sz w:val="24"/>
              </w:rPr>
            </w:pP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2.没有现成信息需要另行制作</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ind w:left="-107" w:leftChars="-51"/>
              <w:rPr>
                <w:rFonts w:ascii="宋体"/>
                <w:color w:val="auto"/>
                <w:sz w:val="24"/>
              </w:rPr>
            </w:pP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3.补正后申请内容仍不明确</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07" w:leftChars="-51"/>
              <w:rPr>
                <w:color w:val="auto"/>
              </w:rPr>
            </w:pPr>
            <w:r>
              <w:rPr>
                <w:rFonts w:hint="eastAsia" w:ascii="楷体" w:hAnsi="楷体" w:eastAsia="楷体" w:cs="楷体"/>
                <w:color w:val="auto"/>
                <w:kern w:val="0"/>
                <w:sz w:val="20"/>
                <w:szCs w:val="20"/>
              </w:rPr>
              <w:t>（五）不予处理</w:t>
            </w: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1.信访举报投诉类申请</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olor w:val="auto"/>
                <w:sz w:val="24"/>
              </w:rPr>
            </w:pP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2.重复申请</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32"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olor w:val="auto"/>
                <w:sz w:val="24"/>
              </w:rPr>
            </w:pP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color w:val="auto"/>
              </w:rPr>
            </w:pPr>
            <w:r>
              <w:rPr>
                <w:rFonts w:hint="eastAsia" w:ascii="楷体" w:hAnsi="楷体" w:eastAsia="楷体" w:cs="楷体"/>
                <w:color w:val="auto"/>
                <w:kern w:val="0"/>
                <w:sz w:val="20"/>
                <w:szCs w:val="20"/>
              </w:rPr>
              <w:t>3.要求提供公开出版物</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8"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olor w:val="auto"/>
                <w:sz w:val="24"/>
              </w:rPr>
            </w:pP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color w:val="auto"/>
              </w:rPr>
            </w:pPr>
            <w:r>
              <w:rPr>
                <w:rFonts w:hint="eastAsia" w:ascii="楷体" w:hAnsi="楷体" w:eastAsia="楷体" w:cs="楷体"/>
                <w:color w:val="auto"/>
                <w:kern w:val="0"/>
                <w:sz w:val="20"/>
                <w:szCs w:val="20"/>
              </w:rPr>
              <w:t>4.无正当理由大量反复申请</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04" w:hRule="atLeas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1410"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olor w:val="auto"/>
                <w:sz w:val="24"/>
              </w:rPr>
            </w:pPr>
          </w:p>
        </w:tc>
        <w:tc>
          <w:tcPr>
            <w:tcW w:w="2819" w:type="dxa"/>
            <w:tcBorders>
              <w:top w:val="nil"/>
              <w:left w:val="nil"/>
              <w:bottom w:val="single" w:color="auto" w:sz="8" w:space="0"/>
              <w:right w:val="single" w:color="auto" w:sz="8" w:space="0"/>
            </w:tcBorders>
            <w:tcMar>
              <w:left w:w="108" w:type="dxa"/>
              <w:right w:w="108" w:type="dxa"/>
            </w:tcMar>
            <w:vAlign w:val="center"/>
          </w:tcPr>
          <w:p>
            <w:pPr>
              <w:widowControl/>
              <w:spacing w:line="220" w:lineRule="exact"/>
              <w:rPr>
                <w:rFonts w:ascii="楷体" w:hAnsi="楷体" w:eastAsia="楷体" w:cs="楷体"/>
                <w:color w:val="auto"/>
                <w:kern w:val="0"/>
                <w:sz w:val="20"/>
                <w:szCs w:val="20"/>
              </w:rPr>
            </w:pPr>
            <w:r>
              <w:rPr>
                <w:rFonts w:hint="eastAsia" w:ascii="楷体" w:hAnsi="楷体" w:eastAsia="楷体" w:cs="楷体"/>
                <w:color w:val="auto"/>
                <w:kern w:val="0"/>
                <w:sz w:val="20"/>
                <w:szCs w:val="20"/>
              </w:rPr>
              <w:t>5.要求行政机关确认或重新</w:t>
            </w:r>
          </w:p>
          <w:p>
            <w:pPr>
              <w:widowControl/>
              <w:spacing w:line="220" w:lineRule="exact"/>
              <w:ind w:firstLine="200" w:firstLineChars="100"/>
              <w:rPr>
                <w:color w:val="auto"/>
              </w:rPr>
            </w:pPr>
            <w:r>
              <w:rPr>
                <w:rFonts w:hint="eastAsia" w:ascii="楷体" w:hAnsi="楷体" w:eastAsia="楷体" w:cs="楷体"/>
                <w:color w:val="auto"/>
                <w:kern w:val="0"/>
                <w:sz w:val="20"/>
                <w:szCs w:val="20"/>
              </w:rPr>
              <w:t>出具已获取信息</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8"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4229" w:type="dxa"/>
            <w:gridSpan w:val="2"/>
            <w:tcBorders>
              <w:top w:val="nil"/>
              <w:left w:val="nil"/>
              <w:bottom w:val="single" w:color="auto" w:sz="8" w:space="0"/>
              <w:right w:val="single" w:color="auto" w:sz="8" w:space="0"/>
            </w:tcBorders>
            <w:tcMar>
              <w:left w:w="108" w:type="dxa"/>
              <w:right w:w="108" w:type="dxa"/>
            </w:tcMar>
            <w:vAlign w:val="center"/>
          </w:tcPr>
          <w:p>
            <w:pPr>
              <w:widowControl/>
              <w:spacing w:line="200" w:lineRule="exact"/>
              <w:rPr>
                <w:color w:val="auto"/>
              </w:rPr>
            </w:pPr>
            <w:r>
              <w:rPr>
                <w:rFonts w:hint="eastAsia" w:ascii="楷体" w:hAnsi="楷体" w:eastAsia="楷体" w:cs="楷体"/>
                <w:color w:val="auto"/>
                <w:kern w:val="0"/>
                <w:sz w:val="20"/>
                <w:szCs w:val="20"/>
              </w:rPr>
              <w:t>（六）其他处理</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7</w:t>
            </w: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8" w:hRule="exact"/>
          <w:jc w:val="center"/>
        </w:trPr>
        <w:tc>
          <w:tcPr>
            <w:tcW w:w="522"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4229" w:type="dxa"/>
            <w:gridSpan w:val="2"/>
            <w:tcBorders>
              <w:top w:val="nil"/>
              <w:left w:val="nil"/>
              <w:bottom w:val="single" w:color="auto" w:sz="8" w:space="0"/>
              <w:right w:val="single" w:color="auto" w:sz="8" w:space="0"/>
            </w:tcBorders>
            <w:tcMar>
              <w:left w:w="108" w:type="dxa"/>
              <w:right w:w="108" w:type="dxa"/>
            </w:tcMar>
            <w:vAlign w:val="center"/>
          </w:tcPr>
          <w:p>
            <w:pPr>
              <w:widowControl/>
              <w:spacing w:line="200" w:lineRule="exact"/>
              <w:rPr>
                <w:color w:val="auto"/>
              </w:rPr>
            </w:pPr>
            <w:r>
              <w:rPr>
                <w:rFonts w:hint="eastAsia" w:ascii="楷体" w:hAnsi="楷体" w:eastAsia="楷体" w:cs="楷体"/>
                <w:color w:val="auto"/>
                <w:kern w:val="0"/>
                <w:sz w:val="20"/>
                <w:szCs w:val="20"/>
              </w:rPr>
              <w:t>（七）总计</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19</w:t>
            </w: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19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99" w:hRule="atLeast"/>
          <w:jc w:val="center"/>
        </w:trPr>
        <w:tc>
          <w:tcPr>
            <w:tcW w:w="4751" w:type="dxa"/>
            <w:gridSpan w:val="3"/>
            <w:tcBorders>
              <w:top w:val="nil"/>
              <w:left w:val="single" w:color="auto" w:sz="8" w:space="0"/>
              <w:bottom w:val="single" w:color="auto" w:sz="8" w:space="0"/>
              <w:right w:val="single" w:color="auto" w:sz="8" w:space="0"/>
            </w:tcBorders>
            <w:tcMar>
              <w:left w:w="108" w:type="dxa"/>
              <w:right w:w="108" w:type="dxa"/>
            </w:tcMar>
            <w:vAlign w:val="center"/>
          </w:tcPr>
          <w:p>
            <w:pPr>
              <w:widowControl/>
              <w:rPr>
                <w:color w:val="auto"/>
              </w:rPr>
            </w:pPr>
            <w:r>
              <w:rPr>
                <w:rFonts w:hint="eastAsia" w:ascii="宋体" w:hAnsi="宋体" w:eastAsia="宋体" w:cs="宋体"/>
                <w:color w:val="auto"/>
                <w:kern w:val="0"/>
                <w:sz w:val="20"/>
                <w:szCs w:val="20"/>
              </w:rPr>
              <w:t>四、结转下年度继续办理</w:t>
            </w:r>
          </w:p>
        </w:tc>
        <w:tc>
          <w:tcPr>
            <w:tcW w:w="845"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r>
              <w:rPr>
                <w:rFonts w:hint="eastAsia" w:ascii="仿宋" w:hAnsi="仿宋" w:eastAsia="仿宋" w:cs="仿宋"/>
                <w:color w:val="auto"/>
                <w:szCs w:val="21"/>
              </w:rPr>
              <w:t>2</w:t>
            </w: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63"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ascii="仿宋" w:hAnsi="仿宋" w:eastAsia="仿宋" w:cs="仿宋"/>
                <w:color w:val="auto"/>
                <w:szCs w:val="21"/>
              </w:rPr>
            </w:pPr>
          </w:p>
        </w:tc>
        <w:tc>
          <w:tcPr>
            <w:tcW w:w="631" w:type="dxa"/>
            <w:tcBorders>
              <w:top w:val="nil"/>
              <w:left w:val="nil"/>
              <w:bottom w:val="single" w:color="auto" w:sz="8" w:space="0"/>
              <w:right w:val="single" w:color="auto" w:sz="8" w:space="0"/>
            </w:tcBorders>
            <w:tcMar>
              <w:left w:w="108" w:type="dxa"/>
              <w:right w:w="108" w:type="dxa"/>
            </w:tcMar>
            <w:vAlign w:val="center"/>
          </w:tcPr>
          <w:p>
            <w:pPr>
              <w:jc w:val="center"/>
              <w:rPr>
                <w:rFonts w:ascii="仿宋" w:hAnsi="仿宋" w:eastAsia="仿宋" w:cs="仿宋"/>
                <w:color w:val="auto"/>
                <w:szCs w:val="21"/>
              </w:rPr>
            </w:pPr>
            <w:r>
              <w:rPr>
                <w:rFonts w:hint="eastAsia" w:ascii="仿宋" w:hAnsi="仿宋" w:eastAsia="仿宋" w:cs="仿宋"/>
                <w:color w:val="auto"/>
                <w:szCs w:val="21"/>
              </w:rPr>
              <w:t>2</w:t>
            </w:r>
          </w:p>
        </w:tc>
      </w:tr>
    </w:tbl>
    <w:p>
      <w:pPr>
        <w:pStyle w:val="5"/>
        <w:widowControl/>
        <w:shd w:val="clear" w:color="auto" w:fill="FFFFFF"/>
        <w:spacing w:beforeAutospacing="0" w:afterAutospacing="0"/>
        <w:ind w:firstLine="420"/>
        <w:jc w:val="both"/>
        <w:rPr>
          <w:rFonts w:ascii="宋体" w:hAnsi="宋体" w:eastAsia="宋体" w:cs="宋体"/>
          <w:color w:val="auto"/>
        </w:rPr>
      </w:pPr>
    </w:p>
    <w:p>
      <w:pPr>
        <w:pStyle w:val="5"/>
        <w:widowControl/>
        <w:shd w:val="clear" w:color="auto" w:fill="FFFFFF"/>
        <w:spacing w:beforeAutospacing="0" w:afterAutospacing="0"/>
        <w:ind w:firstLine="420"/>
        <w:jc w:val="both"/>
        <w:rPr>
          <w:rFonts w:ascii="黑体" w:hAnsi="黑体" w:eastAsia="黑体" w:cs="宋体"/>
          <w:color w:val="auto"/>
          <w:sz w:val="32"/>
          <w:szCs w:val="32"/>
        </w:rPr>
      </w:pPr>
      <w:r>
        <w:rPr>
          <w:rFonts w:hint="eastAsia" w:ascii="黑体" w:hAnsi="黑体" w:eastAsia="黑体" w:cs="宋体"/>
          <w:color w:val="auto"/>
          <w:sz w:val="32"/>
          <w:szCs w:val="32"/>
          <w:shd w:val="clear" w:color="auto" w:fill="FFFFFF"/>
        </w:rPr>
        <w:t>四、政府信息公开行政复议、行政诉讼情况</w:t>
      </w:r>
    </w:p>
    <w:tbl>
      <w:tblPr>
        <w:tblStyle w:val="6"/>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jc w:val="center"/>
              <w:rPr>
                <w:color w:val="auto"/>
              </w:rPr>
            </w:pPr>
            <w:r>
              <w:rPr>
                <w:rFonts w:hint="eastAsia" w:ascii="宋体" w:hAnsi="宋体" w:eastAsia="宋体" w:cs="宋体"/>
                <w:color w:val="auto"/>
                <w:kern w:val="0"/>
                <w:sz w:val="20"/>
                <w:szCs w:val="20"/>
              </w:rPr>
              <w:t>行政复议</w:t>
            </w:r>
          </w:p>
        </w:tc>
        <w:tc>
          <w:tcPr>
            <w:tcW w:w="5997" w:type="dxa"/>
            <w:gridSpan w:val="10"/>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color w:val="auto"/>
              </w:rPr>
            </w:pPr>
            <w:r>
              <w:rPr>
                <w:rFonts w:hint="eastAsia" w:ascii="宋体" w:hAnsi="宋体" w:eastAsia="宋体" w:cs="宋体"/>
                <w:color w:val="auto"/>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ind w:left="-149" w:leftChars="-71" w:right="-170" w:rightChars="-81"/>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结果</w:t>
            </w:r>
          </w:p>
          <w:p>
            <w:pPr>
              <w:widowControl/>
              <w:ind w:left="-149" w:leftChars="-71" w:right="-170" w:rightChars="-81"/>
              <w:jc w:val="center"/>
              <w:rPr>
                <w:color w:val="auto"/>
              </w:rPr>
            </w:pPr>
            <w:r>
              <w:rPr>
                <w:rFonts w:hint="eastAsia" w:ascii="宋体" w:hAnsi="宋体" w:eastAsia="宋体" w:cs="宋体"/>
                <w:color w:val="auto"/>
                <w:kern w:val="0"/>
                <w:sz w:val="20"/>
                <w:szCs w:val="20"/>
              </w:rPr>
              <w:t>维持</w:t>
            </w:r>
          </w:p>
        </w:tc>
        <w:tc>
          <w:tcPr>
            <w:tcW w:w="604" w:type="dxa"/>
            <w:vMerge w:val="restart"/>
            <w:tcBorders>
              <w:top w:val="nil"/>
              <w:left w:val="nil"/>
              <w:bottom w:val="single" w:color="auto" w:sz="8" w:space="0"/>
              <w:right w:val="single" w:color="auto" w:sz="8" w:space="0"/>
            </w:tcBorders>
            <w:tcMar>
              <w:left w:w="108" w:type="dxa"/>
              <w:right w:w="108" w:type="dxa"/>
            </w:tcMar>
            <w:vAlign w:val="center"/>
          </w:tcPr>
          <w:p>
            <w:pPr>
              <w:widowControl/>
              <w:ind w:left="-43" w:leftChars="-21" w:right="-132" w:rightChars="-63" w:hanging="1"/>
              <w:jc w:val="center"/>
              <w:rPr>
                <w:color w:val="auto"/>
              </w:rPr>
            </w:pPr>
            <w:r>
              <w:rPr>
                <w:rFonts w:hint="eastAsia" w:ascii="宋体" w:hAnsi="宋体" w:eastAsia="宋体" w:cs="宋体"/>
                <w:color w:val="auto"/>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ind w:left="-82" w:leftChars="-39" w:right="-97" w:rightChars="-46"/>
              <w:jc w:val="center"/>
              <w:rPr>
                <w:color w:val="auto"/>
              </w:rPr>
            </w:pPr>
            <w:r>
              <w:rPr>
                <w:rFonts w:hint="eastAsia" w:ascii="宋体" w:hAnsi="宋体" w:eastAsia="宋体" w:cs="宋体"/>
                <w:color w:val="auto"/>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ind w:left="-118" w:leftChars="-56" w:right="-118" w:rightChars="-56"/>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尚未</w:t>
            </w:r>
          </w:p>
          <w:p>
            <w:pPr>
              <w:widowControl/>
              <w:ind w:left="-118" w:leftChars="-56" w:right="-118" w:rightChars="-56"/>
              <w:jc w:val="center"/>
              <w:rPr>
                <w:color w:val="auto"/>
              </w:rPr>
            </w:pPr>
            <w:r>
              <w:rPr>
                <w:rFonts w:hint="eastAsia" w:ascii="宋体" w:hAnsi="宋体" w:eastAsia="宋体" w:cs="宋体"/>
                <w:color w:val="auto"/>
                <w:kern w:val="0"/>
                <w:sz w:val="20"/>
                <w:szCs w:val="20"/>
              </w:rPr>
              <w:t>审结</w:t>
            </w:r>
          </w:p>
        </w:tc>
        <w:tc>
          <w:tcPr>
            <w:tcW w:w="658"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总</w:t>
            </w:r>
          </w:p>
          <w:p>
            <w:pPr>
              <w:widowControl/>
              <w:spacing w:line="320" w:lineRule="exact"/>
              <w:jc w:val="center"/>
              <w:rPr>
                <w:color w:val="auto"/>
              </w:rPr>
            </w:pPr>
            <w:r>
              <w:rPr>
                <w:rFonts w:hint="eastAsia" w:ascii="宋体" w:hAnsi="宋体" w:eastAsia="宋体" w:cs="宋体"/>
                <w:color w:val="auto"/>
                <w:kern w:val="0"/>
                <w:sz w:val="20"/>
                <w:szCs w:val="20"/>
              </w:rPr>
              <w:t>计</w:t>
            </w:r>
          </w:p>
        </w:tc>
        <w:tc>
          <w:tcPr>
            <w:tcW w:w="2970"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color w:val="auto"/>
              </w:rPr>
            </w:pPr>
            <w:r>
              <w:rPr>
                <w:rFonts w:hint="eastAsia" w:ascii="宋体" w:hAnsi="宋体" w:eastAsia="宋体" w:cs="宋体"/>
                <w:color w:val="auto"/>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color w:val="auto"/>
              </w:rPr>
            </w:pPr>
            <w:r>
              <w:rPr>
                <w:rFonts w:hint="eastAsia" w:ascii="宋体" w:hAnsi="宋体" w:eastAsia="宋体" w:cs="宋体"/>
                <w:color w:val="auto"/>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ascii="宋体"/>
                <w:color w:val="auto"/>
                <w:sz w:val="24"/>
              </w:rPr>
            </w:pPr>
          </w:p>
        </w:tc>
        <w:tc>
          <w:tcPr>
            <w:tcW w:w="604" w:type="dxa"/>
            <w:vMerge w:val="continue"/>
            <w:tcBorders>
              <w:top w:val="nil"/>
              <w:left w:val="nil"/>
              <w:bottom w:val="single" w:color="auto" w:sz="8" w:space="0"/>
              <w:right w:val="single" w:color="auto" w:sz="8" w:space="0"/>
            </w:tcBorders>
            <w:tcMar>
              <w:left w:w="108" w:type="dxa"/>
              <w:right w:w="108" w:type="dxa"/>
            </w:tcMar>
            <w:vAlign w:val="center"/>
          </w:tcPr>
          <w:p>
            <w:pPr>
              <w:rPr>
                <w:rFonts w:ascii="宋体"/>
                <w:color w:val="auto"/>
                <w:sz w:val="24"/>
              </w:rPr>
            </w:pPr>
          </w:p>
        </w:tc>
        <w:tc>
          <w:tcPr>
            <w:tcW w:w="604"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rPr>
                <w:rFonts w:ascii="宋体"/>
                <w:color w:val="auto"/>
                <w:sz w:val="24"/>
              </w:rPr>
            </w:pPr>
          </w:p>
        </w:tc>
        <w:tc>
          <w:tcPr>
            <w:tcW w:w="604"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rPr>
                <w:rFonts w:ascii="宋体"/>
                <w:color w:val="auto"/>
                <w:sz w:val="24"/>
              </w:rPr>
            </w:pPr>
          </w:p>
        </w:tc>
        <w:tc>
          <w:tcPr>
            <w:tcW w:w="658"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rPr>
                <w:rFonts w:ascii="宋体"/>
                <w:color w:val="auto"/>
                <w:sz w:val="24"/>
              </w:rPr>
            </w:pPr>
          </w:p>
        </w:tc>
        <w:tc>
          <w:tcPr>
            <w:tcW w:w="550" w:type="dxa"/>
            <w:tcBorders>
              <w:top w:val="nil"/>
              <w:left w:val="nil"/>
              <w:bottom w:val="single" w:color="auto" w:sz="8" w:space="0"/>
              <w:right w:val="single" w:color="auto" w:sz="8" w:space="0"/>
            </w:tcBorders>
            <w:tcMar>
              <w:left w:w="108" w:type="dxa"/>
              <w:right w:w="108" w:type="dxa"/>
            </w:tcMar>
            <w:vAlign w:val="center"/>
          </w:tcPr>
          <w:p>
            <w:pPr>
              <w:widowControl/>
              <w:ind w:left="-105" w:leftChars="-50" w:right="-126" w:rightChars="-60"/>
              <w:jc w:val="center"/>
              <w:rPr>
                <w:color w:val="auto"/>
              </w:rPr>
            </w:pPr>
            <w:r>
              <w:rPr>
                <w:rFonts w:hint="eastAsia" w:ascii="宋体" w:hAnsi="宋体" w:eastAsia="宋体" w:cs="宋体"/>
                <w:color w:val="auto"/>
                <w:kern w:val="0"/>
                <w:sz w:val="20"/>
                <w:szCs w:val="20"/>
              </w:rPr>
              <w:t>结果维持</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ind w:left="-86" w:leftChars="-41" w:right="-88" w:rightChars="-42"/>
              <w:jc w:val="center"/>
              <w:rPr>
                <w:color w:val="auto"/>
              </w:rPr>
            </w:pPr>
            <w:r>
              <w:rPr>
                <w:rFonts w:hint="eastAsia" w:ascii="宋体" w:hAnsi="宋体" w:eastAsia="宋体" w:cs="宋体"/>
                <w:color w:val="auto"/>
                <w:kern w:val="0"/>
                <w:sz w:val="20"/>
                <w:szCs w:val="20"/>
              </w:rPr>
              <w:t>结果纠正</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26" w:leftChars="-60" w:right="-136" w:rightChars="-65"/>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其他</w:t>
            </w:r>
          </w:p>
          <w:p>
            <w:pPr>
              <w:widowControl/>
              <w:ind w:left="-126" w:leftChars="-60" w:right="-136" w:rightChars="-65"/>
              <w:jc w:val="center"/>
              <w:rPr>
                <w:color w:val="auto"/>
              </w:rPr>
            </w:pPr>
            <w:r>
              <w:rPr>
                <w:rFonts w:hint="eastAsia" w:ascii="宋体" w:hAnsi="宋体" w:eastAsia="宋体" w:cs="宋体"/>
                <w:color w:val="auto"/>
                <w:kern w:val="0"/>
                <w:sz w:val="20"/>
                <w:szCs w:val="20"/>
              </w:rPr>
              <w:t>结果</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64" w:leftChars="-78" w:right="-153" w:rightChars="-73"/>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尚未</w:t>
            </w:r>
          </w:p>
          <w:p>
            <w:pPr>
              <w:widowControl/>
              <w:ind w:left="-164" w:leftChars="-78" w:right="-153" w:rightChars="-73"/>
              <w:jc w:val="center"/>
              <w:rPr>
                <w:color w:val="auto"/>
              </w:rPr>
            </w:pPr>
            <w:r>
              <w:rPr>
                <w:rFonts w:hint="eastAsia" w:ascii="宋体" w:hAnsi="宋体" w:eastAsia="宋体" w:cs="宋体"/>
                <w:color w:val="auto"/>
                <w:kern w:val="0"/>
                <w:sz w:val="20"/>
                <w:szCs w:val="20"/>
              </w:rPr>
              <w:t>审结</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color w:val="auto"/>
              </w:rPr>
            </w:pPr>
            <w:r>
              <w:rPr>
                <w:rFonts w:hint="eastAsia" w:ascii="宋体" w:hAnsi="宋体" w:eastAsia="宋体" w:cs="宋体"/>
                <w:color w:val="auto"/>
                <w:kern w:val="0"/>
                <w:sz w:val="20"/>
                <w:szCs w:val="20"/>
              </w:rPr>
              <w:t>总计</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99" w:leftChars="-47" w:right="-78" w:rightChars="-37"/>
              <w:jc w:val="center"/>
              <w:rPr>
                <w:color w:val="auto"/>
              </w:rPr>
            </w:pPr>
            <w:r>
              <w:rPr>
                <w:rFonts w:hint="eastAsia" w:ascii="宋体" w:hAnsi="宋体" w:eastAsia="宋体" w:cs="宋体"/>
                <w:color w:val="auto"/>
                <w:kern w:val="0"/>
                <w:sz w:val="20"/>
                <w:szCs w:val="20"/>
              </w:rPr>
              <w:t>结果维持</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36" w:leftChars="-65" w:right="-124" w:rightChars="-59"/>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结果</w:t>
            </w:r>
          </w:p>
          <w:p>
            <w:pPr>
              <w:widowControl/>
              <w:ind w:left="-136" w:leftChars="-65" w:right="-124" w:rightChars="-59"/>
              <w:jc w:val="center"/>
              <w:rPr>
                <w:color w:val="auto"/>
              </w:rPr>
            </w:pPr>
            <w:r>
              <w:rPr>
                <w:rFonts w:hint="eastAsia" w:ascii="宋体" w:hAnsi="宋体" w:eastAsia="宋体" w:cs="宋体"/>
                <w:color w:val="auto"/>
                <w:kern w:val="0"/>
                <w:sz w:val="20"/>
                <w:szCs w:val="20"/>
              </w:rPr>
              <w:t>纠正</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73" w:leftChars="-83" w:right="-134" w:rightChars="-64" w:hanging="1"/>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其他</w:t>
            </w:r>
          </w:p>
          <w:p>
            <w:pPr>
              <w:widowControl/>
              <w:ind w:left="-173" w:leftChars="-83" w:right="-134" w:rightChars="-64" w:hanging="1"/>
              <w:jc w:val="center"/>
              <w:rPr>
                <w:color w:val="auto"/>
              </w:rPr>
            </w:pPr>
            <w:r>
              <w:rPr>
                <w:rFonts w:hint="eastAsia" w:ascii="宋体" w:hAnsi="宋体" w:eastAsia="宋体" w:cs="宋体"/>
                <w:color w:val="auto"/>
                <w:kern w:val="0"/>
                <w:sz w:val="20"/>
                <w:szCs w:val="20"/>
              </w:rPr>
              <w:t>结果</w:t>
            </w:r>
          </w:p>
        </w:tc>
        <w:tc>
          <w:tcPr>
            <w:tcW w:w="606"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67" w:leftChars="-33" w:right="-105" w:rightChars="-50" w:hanging="2" w:hangingChars="1"/>
              <w:jc w:val="center"/>
              <w:rPr>
                <w:color w:val="auto"/>
              </w:rPr>
            </w:pPr>
            <w:r>
              <w:rPr>
                <w:rFonts w:hint="eastAsia" w:ascii="宋体" w:hAnsi="宋体" w:eastAsia="宋体" w:cs="宋体"/>
                <w:color w:val="auto"/>
                <w:kern w:val="0"/>
                <w:sz w:val="20"/>
                <w:szCs w:val="20"/>
              </w:rPr>
              <w:t>尚未审结</w:t>
            </w:r>
          </w:p>
        </w:tc>
        <w:tc>
          <w:tcPr>
            <w:tcW w:w="606" w:type="dxa"/>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color w:val="auto"/>
              </w:rPr>
            </w:pPr>
            <w:r>
              <w:rPr>
                <w:rFonts w:hint="eastAsia" w:ascii="宋体" w:hAnsi="宋体" w:eastAsia="宋体" w:cs="宋体"/>
                <w:color w:val="auto"/>
                <w:kern w:val="0"/>
                <w:sz w:val="20"/>
                <w:szCs w:val="20"/>
              </w:rPr>
              <w:t>总计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719" w:hRule="atLeast"/>
          <w:jc w:val="center"/>
        </w:trPr>
        <w:tc>
          <w:tcPr>
            <w:tcW w:w="60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s="Calibri"/>
                <w:color w:val="auto"/>
                <w:kern w:val="0"/>
              </w:rPr>
              <w:t>3</w:t>
            </w:r>
          </w:p>
        </w:tc>
        <w:tc>
          <w:tcPr>
            <w:tcW w:w="604"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s="Calibri"/>
                <w:color w:val="auto"/>
                <w:kern w:val="0"/>
              </w:rPr>
              <w:t>1</w:t>
            </w:r>
          </w:p>
        </w:tc>
        <w:tc>
          <w:tcPr>
            <w:tcW w:w="604"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olor w:val="auto"/>
                <w:szCs w:val="21"/>
              </w:rPr>
              <w:t>1</w:t>
            </w:r>
          </w:p>
        </w:tc>
        <w:tc>
          <w:tcPr>
            <w:tcW w:w="604"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s="Calibri"/>
                <w:color w:val="auto"/>
                <w:kern w:val="0"/>
              </w:rPr>
              <w:t>2</w:t>
            </w:r>
          </w:p>
        </w:tc>
        <w:tc>
          <w:tcPr>
            <w:tcW w:w="658"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s="Calibri"/>
                <w:color w:val="auto"/>
                <w:kern w:val="0"/>
              </w:rPr>
              <w:t>7</w:t>
            </w:r>
          </w:p>
        </w:tc>
        <w:tc>
          <w:tcPr>
            <w:tcW w:w="550"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olor w:val="auto"/>
                <w:szCs w:val="21"/>
              </w:rPr>
              <w:t>0</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s="宋体"/>
                <w:color w:val="auto"/>
                <w:kern w:val="0"/>
              </w:rPr>
              <w:t>1</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s="宋体"/>
                <w:color w:val="auto"/>
                <w:kern w:val="0"/>
              </w:rPr>
              <w:t>3</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s="宋体"/>
                <w:color w:val="auto"/>
                <w:kern w:val="0"/>
              </w:rPr>
              <w:t>1</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s="宋体"/>
                <w:color w:val="auto"/>
                <w:kern w:val="0"/>
              </w:rPr>
              <w:t>4</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s="宋体"/>
                <w:color w:val="auto"/>
                <w:kern w:val="0"/>
              </w:rPr>
              <w:t>0</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s="宋体"/>
                <w:color w:val="auto"/>
                <w:kern w:val="0"/>
              </w:rPr>
              <w:t>0</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s="宋体"/>
                <w:color w:val="auto"/>
                <w:kern w:val="0"/>
              </w:rPr>
              <w:t>0</w:t>
            </w:r>
          </w:p>
        </w:tc>
        <w:tc>
          <w:tcPr>
            <w:tcW w:w="606" w:type="dxa"/>
            <w:tcBorders>
              <w:top w:val="nil"/>
              <w:left w:val="nil"/>
              <w:bottom w:val="single" w:color="auto" w:sz="8" w:space="0"/>
              <w:right w:val="single" w:color="auto" w:sz="8" w:space="0"/>
            </w:tcBorders>
            <w:tcMar>
              <w:top w:w="0" w:type="dxa"/>
              <w:left w:w="108" w:type="dxa"/>
              <w:bottom w:w="0" w:type="dxa"/>
              <w:right w:w="108" w:type="dxa"/>
            </w:tcMar>
            <w:vAlign w:val="bottom"/>
          </w:tcPr>
          <w:p>
            <w:pPr>
              <w:widowControl/>
              <w:spacing w:after="180" w:line="300" w:lineRule="exact"/>
              <w:jc w:val="center"/>
              <w:rPr>
                <w:rFonts w:ascii="仿宋" w:hAnsi="仿宋" w:eastAsia="仿宋"/>
                <w:color w:val="auto"/>
                <w:szCs w:val="21"/>
              </w:rPr>
            </w:pPr>
            <w:r>
              <w:rPr>
                <w:rFonts w:hint="eastAsia" w:ascii="仿宋" w:hAnsi="仿宋" w:eastAsia="仿宋" w:cs="宋体"/>
                <w:color w:val="auto"/>
                <w:kern w:val="0"/>
              </w:rPr>
              <w:t>1</w:t>
            </w:r>
          </w:p>
        </w:tc>
        <w:tc>
          <w:tcPr>
            <w:tcW w:w="60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300" w:lineRule="exact"/>
              <w:ind w:firstLine="105" w:firstLineChars="50"/>
              <w:jc w:val="center"/>
              <w:rPr>
                <w:rFonts w:ascii="仿宋" w:hAnsi="仿宋" w:eastAsia="仿宋"/>
                <w:color w:val="auto"/>
                <w:szCs w:val="21"/>
              </w:rPr>
            </w:pPr>
            <w:r>
              <w:rPr>
                <w:rFonts w:hint="eastAsia" w:ascii="仿宋" w:hAnsi="仿宋" w:eastAsia="仿宋"/>
                <w:color w:val="auto"/>
              </w:rPr>
              <w:t>5</w:t>
            </w:r>
          </w:p>
        </w:tc>
      </w:tr>
    </w:tbl>
    <w:p>
      <w:pPr>
        <w:pStyle w:val="5"/>
        <w:widowControl/>
        <w:shd w:val="clear" w:color="auto" w:fill="FFFFFF"/>
        <w:spacing w:beforeAutospacing="0" w:afterAutospacing="0"/>
        <w:ind w:firstLine="420"/>
        <w:jc w:val="both"/>
        <w:rPr>
          <w:rFonts w:ascii="宋体" w:hAnsi="宋体" w:eastAsia="宋体" w:cs="宋体"/>
          <w:color w:val="auto"/>
        </w:rPr>
      </w:pPr>
    </w:p>
    <w:p>
      <w:pPr>
        <w:pStyle w:val="5"/>
        <w:widowControl/>
        <w:shd w:val="clear" w:color="auto" w:fill="FFFFFF"/>
        <w:spacing w:beforeAutospacing="0" w:afterAutospacing="0"/>
        <w:ind w:firstLine="420"/>
        <w:jc w:val="both"/>
        <w:rPr>
          <w:rFonts w:ascii="黑体" w:hAnsi="黑体" w:eastAsia="黑体" w:cs="宋体"/>
          <w:color w:val="auto"/>
          <w:sz w:val="32"/>
          <w:szCs w:val="32"/>
        </w:rPr>
      </w:pPr>
      <w:r>
        <w:rPr>
          <w:rFonts w:hint="eastAsia" w:ascii="黑体" w:hAnsi="黑体" w:eastAsia="黑体" w:cs="宋体"/>
          <w:color w:val="auto"/>
          <w:sz w:val="32"/>
          <w:szCs w:val="32"/>
          <w:shd w:val="clear" w:color="auto" w:fill="FFFFFF"/>
        </w:rPr>
        <w:t>五、存在的主要问题及改进情况</w:t>
      </w:r>
    </w:p>
    <w:p>
      <w:pPr>
        <w:spacing w:line="560" w:lineRule="exact"/>
        <w:ind w:firstLine="636"/>
        <w:rPr>
          <w:rFonts w:ascii="仿宋_GB2312" w:eastAsia="仿宋_GB2312"/>
          <w:color w:val="auto"/>
          <w:sz w:val="32"/>
          <w:szCs w:val="32"/>
        </w:rPr>
      </w:pPr>
      <w:r>
        <w:rPr>
          <w:rFonts w:hint="eastAsia" w:ascii="楷体_GB2312" w:eastAsia="楷体_GB2312"/>
          <w:color w:val="auto"/>
          <w:sz w:val="32"/>
          <w:szCs w:val="32"/>
        </w:rPr>
        <w:t>(一)存在问题。</w:t>
      </w:r>
      <w:r>
        <w:rPr>
          <w:rFonts w:hint="eastAsia" w:ascii="仿宋_GB2312" w:eastAsia="仿宋_GB2312"/>
          <w:color w:val="auto"/>
          <w:sz w:val="32"/>
          <w:szCs w:val="32"/>
        </w:rPr>
        <w:t>一是政务公开主动性不强。委机关处室、委属单位信息公开的意识有待加强，信息在网站上公开发布的主动性、时效性有待提高，对政府信息公开工作内部监督力度有待进一步加强;二是政策解读形式和力度还需加强。政策解读文字形式较多，比较单调，虽然一图解读力度逐步加大，但通过数字化、图表图解、音频、视频、动漫等形式展现的太少。三是工作队伍能力还需加强。对政府信息公开条例的学习、宣传还不够；信息公开人员队伍培训还没建立长效机制。</w:t>
      </w:r>
    </w:p>
    <w:p>
      <w:pPr>
        <w:spacing w:line="560" w:lineRule="exact"/>
        <w:ind w:firstLine="636"/>
        <w:rPr>
          <w:rFonts w:ascii="等线" w:eastAsia="宋体"/>
          <w:color w:val="auto"/>
          <w:szCs w:val="21"/>
        </w:rPr>
      </w:pPr>
      <w:r>
        <w:rPr>
          <w:rFonts w:hint="eastAsia" w:ascii="楷体_GB2312" w:eastAsia="楷体_GB2312"/>
          <w:color w:val="auto"/>
          <w:sz w:val="32"/>
          <w:szCs w:val="32"/>
        </w:rPr>
        <w:t>（二）改进措施。</w:t>
      </w:r>
      <w:r>
        <w:rPr>
          <w:rFonts w:hint="eastAsia" w:ascii="仿宋_GB2312" w:eastAsia="仿宋_GB2312"/>
          <w:color w:val="auto"/>
          <w:sz w:val="32"/>
          <w:szCs w:val="32"/>
        </w:rPr>
        <w:t>一是健全完善长效机制建设。建立政府信息公开工作领导和考核机制，及时调整政务公开工作领导小组，制定信息公开工作考核制度，持续续完善更新信息公开基本目录，推进政府信息公开标准化建设。</w:t>
      </w:r>
      <w:r>
        <w:rPr>
          <w:rFonts w:ascii="仿宋_GB2312" w:eastAsia="仿宋_GB2312"/>
          <w:color w:val="auto"/>
          <w:sz w:val="32"/>
          <w:szCs w:val="32"/>
        </w:rPr>
        <w:t>二是全面推进政务公开工作。加强指导和检查，全面推行政府信息公开制度;充实丰富</w:t>
      </w:r>
      <w:r>
        <w:rPr>
          <w:rFonts w:hint="eastAsia" w:ascii="仿宋_GB2312" w:eastAsia="仿宋_GB2312"/>
          <w:color w:val="auto"/>
          <w:sz w:val="32"/>
          <w:szCs w:val="32"/>
        </w:rPr>
        <w:t>委门户网站信息</w:t>
      </w:r>
      <w:r>
        <w:rPr>
          <w:rFonts w:ascii="仿宋_GB2312" w:eastAsia="仿宋_GB2312"/>
          <w:color w:val="auto"/>
          <w:sz w:val="32"/>
          <w:szCs w:val="32"/>
        </w:rPr>
        <w:t>公开内容，</w:t>
      </w:r>
      <w:r>
        <w:rPr>
          <w:rFonts w:hint="eastAsia" w:ascii="仿宋_GB2312" w:eastAsia="仿宋_GB2312"/>
          <w:color w:val="auto"/>
          <w:sz w:val="32"/>
          <w:szCs w:val="32"/>
        </w:rPr>
        <w:t>丰富公开形式，</w:t>
      </w:r>
      <w:r>
        <w:rPr>
          <w:rFonts w:ascii="仿宋_GB2312" w:eastAsia="仿宋_GB2312"/>
          <w:color w:val="auto"/>
          <w:sz w:val="32"/>
          <w:szCs w:val="32"/>
        </w:rPr>
        <w:t>加大信息公开力度;督促指导</w:t>
      </w:r>
      <w:r>
        <w:rPr>
          <w:rFonts w:hint="eastAsia" w:ascii="仿宋_GB2312" w:eastAsia="仿宋_GB2312"/>
          <w:color w:val="auto"/>
          <w:sz w:val="32"/>
          <w:szCs w:val="32"/>
        </w:rPr>
        <w:t>委机关</w:t>
      </w:r>
      <w:r>
        <w:rPr>
          <w:rFonts w:ascii="仿宋_GB2312" w:eastAsia="仿宋_GB2312"/>
          <w:color w:val="auto"/>
          <w:sz w:val="32"/>
          <w:szCs w:val="32"/>
        </w:rPr>
        <w:t>处室</w:t>
      </w:r>
      <w:r>
        <w:rPr>
          <w:rFonts w:hint="eastAsia" w:ascii="仿宋_GB2312" w:eastAsia="仿宋_GB2312"/>
          <w:color w:val="auto"/>
          <w:sz w:val="32"/>
          <w:szCs w:val="32"/>
        </w:rPr>
        <w:t>、委</w:t>
      </w:r>
      <w:r>
        <w:rPr>
          <w:rFonts w:ascii="仿宋_GB2312" w:eastAsia="仿宋_GB2312"/>
          <w:color w:val="auto"/>
          <w:sz w:val="32"/>
          <w:szCs w:val="32"/>
        </w:rPr>
        <w:t>属单位开展好政务公开工作</w:t>
      </w:r>
      <w:r>
        <w:rPr>
          <w:rFonts w:hint="eastAsia" w:ascii="仿宋_GB2312" w:eastAsia="仿宋_GB2312"/>
          <w:color w:val="auto"/>
          <w:sz w:val="32"/>
          <w:szCs w:val="32"/>
        </w:rPr>
        <w:t>，着力加强公共企事业单位信息公开</w:t>
      </w:r>
      <w:r>
        <w:rPr>
          <w:rFonts w:ascii="仿宋_GB2312" w:eastAsia="仿宋_GB2312"/>
          <w:color w:val="auto"/>
          <w:sz w:val="32"/>
          <w:szCs w:val="32"/>
        </w:rPr>
        <w:t>。三是加强培训和宣传力度。加强</w:t>
      </w:r>
      <w:r>
        <w:rPr>
          <w:rFonts w:hint="eastAsia" w:ascii="仿宋_GB2312" w:eastAsia="仿宋_GB2312"/>
          <w:color w:val="auto"/>
          <w:sz w:val="32"/>
          <w:szCs w:val="32"/>
        </w:rPr>
        <w:t>委机关、委属单位信</w:t>
      </w:r>
      <w:r>
        <w:rPr>
          <w:rFonts w:ascii="仿宋_GB2312" w:eastAsia="仿宋_GB2312"/>
          <w:color w:val="auto"/>
          <w:sz w:val="32"/>
          <w:szCs w:val="32"/>
        </w:rPr>
        <w:t>息公开工作人员的业务学习和培训，建立良好的沟通协调机制，</w:t>
      </w:r>
      <w:r>
        <w:rPr>
          <w:rFonts w:hint="eastAsia" w:ascii="仿宋_GB2312" w:eastAsia="仿宋_GB2312"/>
          <w:color w:val="auto"/>
          <w:sz w:val="32"/>
          <w:szCs w:val="32"/>
        </w:rPr>
        <w:t>提高人员队伍的综合素质和业务能力。</w:t>
      </w:r>
      <w:r>
        <w:rPr>
          <w:rFonts w:ascii="仿宋_GB2312" w:eastAsia="仿宋_GB2312"/>
          <w:color w:val="auto"/>
          <w:sz w:val="32"/>
          <w:szCs w:val="32"/>
        </w:rPr>
        <w:t>持续做好对外宣传</w:t>
      </w:r>
      <w:r>
        <w:rPr>
          <w:rFonts w:hint="eastAsia" w:ascii="仿宋_GB2312" w:eastAsia="仿宋_GB2312"/>
          <w:color w:val="auto"/>
          <w:sz w:val="32"/>
          <w:szCs w:val="32"/>
        </w:rPr>
        <w:t>工作</w:t>
      </w:r>
      <w:r>
        <w:rPr>
          <w:rFonts w:ascii="仿宋_GB2312" w:eastAsia="仿宋_GB2312"/>
          <w:color w:val="auto"/>
          <w:sz w:val="32"/>
          <w:szCs w:val="32"/>
        </w:rPr>
        <w:t>，进一步拓展、提升政务公开的互动性、参与性，实现线上宣传与线下参与同时发力。四是</w:t>
      </w:r>
      <w:r>
        <w:rPr>
          <w:rFonts w:hint="eastAsia" w:ascii="仿宋_GB2312" w:eastAsia="仿宋_GB2312"/>
          <w:color w:val="auto"/>
          <w:sz w:val="32"/>
          <w:szCs w:val="32"/>
        </w:rPr>
        <w:t>健全</w:t>
      </w:r>
      <w:r>
        <w:rPr>
          <w:rFonts w:ascii="仿宋_GB2312" w:eastAsia="仿宋_GB2312"/>
          <w:color w:val="auto"/>
          <w:sz w:val="32"/>
          <w:szCs w:val="32"/>
        </w:rPr>
        <w:t>完善考核制度</w:t>
      </w:r>
      <w:r>
        <w:rPr>
          <w:rFonts w:hint="eastAsia" w:ascii="仿宋_GB2312" w:eastAsia="仿宋_GB2312"/>
          <w:color w:val="auto"/>
          <w:sz w:val="32"/>
          <w:szCs w:val="32"/>
        </w:rPr>
        <w:t>。将政务信息公开工作纳入年度卫生健康综合考核，加大赋分权重，制定考核标准，严格落实考核，</w:t>
      </w:r>
      <w:r>
        <w:rPr>
          <w:rFonts w:ascii="仿宋_GB2312" w:eastAsia="仿宋_GB2312"/>
          <w:color w:val="auto"/>
          <w:sz w:val="32"/>
          <w:szCs w:val="32"/>
        </w:rPr>
        <w:t>不断提高我</w:t>
      </w:r>
      <w:r>
        <w:rPr>
          <w:rFonts w:hint="eastAsia" w:ascii="仿宋_GB2312" w:eastAsia="仿宋_GB2312"/>
          <w:color w:val="auto"/>
          <w:sz w:val="32"/>
          <w:szCs w:val="32"/>
        </w:rPr>
        <w:t>委</w:t>
      </w:r>
      <w:r>
        <w:rPr>
          <w:rFonts w:ascii="仿宋_GB2312" w:eastAsia="仿宋_GB2312"/>
          <w:color w:val="auto"/>
          <w:sz w:val="32"/>
          <w:szCs w:val="32"/>
        </w:rPr>
        <w:t>政务公开的整体工作水平。</w:t>
      </w:r>
    </w:p>
    <w:p>
      <w:pPr>
        <w:pStyle w:val="5"/>
        <w:widowControl/>
        <w:shd w:val="clear" w:color="auto" w:fill="FFFFFF"/>
        <w:spacing w:beforeAutospacing="0" w:afterAutospacing="0"/>
        <w:ind w:firstLine="420"/>
        <w:jc w:val="both"/>
        <w:rPr>
          <w:rFonts w:ascii="黑体" w:hAnsi="黑体" w:eastAsia="黑体" w:cs="宋体"/>
          <w:color w:val="auto"/>
          <w:sz w:val="32"/>
          <w:szCs w:val="32"/>
        </w:rPr>
      </w:pPr>
      <w:r>
        <w:rPr>
          <w:rFonts w:hint="eastAsia" w:ascii="黑体" w:hAnsi="黑体" w:eastAsia="黑体" w:cs="宋体"/>
          <w:color w:val="auto"/>
          <w:sz w:val="32"/>
          <w:szCs w:val="32"/>
          <w:shd w:val="clear" w:color="auto" w:fill="FFFFFF"/>
        </w:rPr>
        <w:t>六、其他需要报告的事项</w:t>
      </w:r>
    </w:p>
    <w:p>
      <w:pPr>
        <w:spacing w:line="560" w:lineRule="exact"/>
        <w:ind w:firstLine="636"/>
        <w:rPr>
          <w:rFonts w:ascii="仿宋_GB2312" w:eastAsia="仿宋_GB2312"/>
          <w:color w:val="auto"/>
          <w:sz w:val="32"/>
          <w:szCs w:val="32"/>
        </w:rPr>
      </w:pPr>
      <w:r>
        <w:rPr>
          <w:rFonts w:hint="eastAsia" w:ascii="仿宋_GB2312" w:hAnsi="楷体_GB2312" w:eastAsia="仿宋_GB2312" w:cs="楷体_GB2312"/>
          <w:color w:val="auto"/>
          <w:sz w:val="32"/>
          <w:szCs w:val="32"/>
        </w:rPr>
        <w:t>全面做好“济南公共事业企业信息公开－卫生健康”专栏信息公开。</w:t>
      </w:r>
      <w:r>
        <w:rPr>
          <w:rFonts w:hint="eastAsia" w:ascii="仿宋_GB2312" w:eastAsia="仿宋_GB2312"/>
          <w:color w:val="auto"/>
          <w:sz w:val="32"/>
          <w:szCs w:val="32"/>
        </w:rPr>
        <w:t>指导各医疗机构健全公开目录，多途径、多渠道全面公开单位概况、科室介绍、专家介绍、服务时间、门诊就医服务、预约挂号方式、住院流程、健康教育咨询服务、监督投诉等信息，并多次调度所属多家事业单位信息公开情况，对信息公开不及时单位进行重点督导。</w:t>
      </w:r>
    </w:p>
    <w:p>
      <w:pPr>
        <w:spacing w:line="560" w:lineRule="exact"/>
        <w:ind w:firstLine="636"/>
        <w:rPr>
          <w:rFonts w:ascii="仿宋_GB2312" w:eastAsia="仿宋_GB2312"/>
          <w:color w:val="auto"/>
          <w:sz w:val="32"/>
          <w:szCs w:val="32"/>
        </w:rPr>
      </w:pPr>
    </w:p>
    <w:p>
      <w:pPr>
        <w:spacing w:line="560" w:lineRule="exact"/>
        <w:ind w:firstLine="4163" w:firstLineChars="1301"/>
        <w:rPr>
          <w:rFonts w:ascii="仿宋_GB2312" w:eastAsia="仿宋_GB2312"/>
          <w:color w:val="auto"/>
          <w:sz w:val="32"/>
          <w:szCs w:val="32"/>
        </w:rPr>
      </w:pPr>
      <w:r>
        <w:rPr>
          <w:rFonts w:hint="eastAsia" w:ascii="仿宋_GB2312" w:eastAsia="仿宋_GB2312"/>
          <w:color w:val="auto"/>
          <w:sz w:val="32"/>
          <w:szCs w:val="32"/>
        </w:rPr>
        <w:t>济南市卫生健康委员会</w:t>
      </w:r>
    </w:p>
    <w:p>
      <w:pPr>
        <w:spacing w:line="560" w:lineRule="exact"/>
        <w:ind w:right="1165" w:rightChars="555" w:firstLine="636"/>
        <w:jc w:val="right"/>
        <w:rPr>
          <w:rFonts w:ascii="仿宋_GB2312" w:eastAsia="仿宋_GB2312"/>
          <w:color w:val="auto"/>
          <w:sz w:val="32"/>
          <w:szCs w:val="32"/>
        </w:rPr>
      </w:pPr>
      <w:r>
        <w:rPr>
          <w:rFonts w:hint="eastAsia" w:ascii="仿宋_GB2312" w:eastAsia="仿宋_GB2312"/>
          <w:color w:val="auto"/>
          <w:sz w:val="32"/>
          <w:szCs w:val="32"/>
        </w:rPr>
        <w:t>2020年1月</w:t>
      </w:r>
      <w:r>
        <w:rPr>
          <w:rFonts w:hint="eastAsia" w:ascii="仿宋_GB2312" w:eastAsia="仿宋_GB2312"/>
          <w:color w:val="auto"/>
          <w:sz w:val="32"/>
          <w:szCs w:val="32"/>
          <w:lang w:val="en-US" w:eastAsia="zh-CN"/>
        </w:rPr>
        <w:t>26</w:t>
      </w:r>
      <w:r>
        <w:rPr>
          <w:rFonts w:hint="eastAsia" w:ascii="仿宋_GB2312" w:eastAsia="仿宋_GB2312"/>
          <w:color w:val="auto"/>
          <w:sz w:val="32"/>
          <w:szCs w:val="32"/>
        </w:rPr>
        <w:t>日</w:t>
      </w:r>
    </w:p>
    <w:p>
      <w:pPr>
        <w:rPr>
          <w:color w:val="auto"/>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4105D4"/>
    <w:rsid w:val="00006496"/>
    <w:rsid w:val="000268E3"/>
    <w:rsid w:val="00031E71"/>
    <w:rsid w:val="00042ED5"/>
    <w:rsid w:val="000D1159"/>
    <w:rsid w:val="000E1140"/>
    <w:rsid w:val="0017646D"/>
    <w:rsid w:val="00184EAE"/>
    <w:rsid w:val="001907B8"/>
    <w:rsid w:val="00195C2D"/>
    <w:rsid w:val="002046E9"/>
    <w:rsid w:val="00244325"/>
    <w:rsid w:val="002649A5"/>
    <w:rsid w:val="00280CDA"/>
    <w:rsid w:val="002C5B52"/>
    <w:rsid w:val="002E45D1"/>
    <w:rsid w:val="00340764"/>
    <w:rsid w:val="003918B8"/>
    <w:rsid w:val="003B6019"/>
    <w:rsid w:val="003F475E"/>
    <w:rsid w:val="0041184A"/>
    <w:rsid w:val="00420405"/>
    <w:rsid w:val="00424D6B"/>
    <w:rsid w:val="00444754"/>
    <w:rsid w:val="004618CA"/>
    <w:rsid w:val="00464BC4"/>
    <w:rsid w:val="00476ACF"/>
    <w:rsid w:val="004A01EA"/>
    <w:rsid w:val="004A46F1"/>
    <w:rsid w:val="004F04D7"/>
    <w:rsid w:val="00547148"/>
    <w:rsid w:val="0056633E"/>
    <w:rsid w:val="005767FD"/>
    <w:rsid w:val="00594581"/>
    <w:rsid w:val="005E3FEC"/>
    <w:rsid w:val="006257FF"/>
    <w:rsid w:val="0063298E"/>
    <w:rsid w:val="00637FEA"/>
    <w:rsid w:val="006A3B88"/>
    <w:rsid w:val="006E1B37"/>
    <w:rsid w:val="006F25FD"/>
    <w:rsid w:val="007141AC"/>
    <w:rsid w:val="007C490A"/>
    <w:rsid w:val="007C557B"/>
    <w:rsid w:val="007C6465"/>
    <w:rsid w:val="007D076C"/>
    <w:rsid w:val="00841640"/>
    <w:rsid w:val="00901FD7"/>
    <w:rsid w:val="009266C1"/>
    <w:rsid w:val="00960550"/>
    <w:rsid w:val="009844C0"/>
    <w:rsid w:val="009C36EA"/>
    <w:rsid w:val="009D40C9"/>
    <w:rsid w:val="00A5089F"/>
    <w:rsid w:val="00A52456"/>
    <w:rsid w:val="00A53099"/>
    <w:rsid w:val="00AD3CA8"/>
    <w:rsid w:val="00AD5CC7"/>
    <w:rsid w:val="00B0471D"/>
    <w:rsid w:val="00B121CD"/>
    <w:rsid w:val="00B859A3"/>
    <w:rsid w:val="00BB18B4"/>
    <w:rsid w:val="00C25C2F"/>
    <w:rsid w:val="00C26EFC"/>
    <w:rsid w:val="00C779CD"/>
    <w:rsid w:val="00CF7C4D"/>
    <w:rsid w:val="00D3604B"/>
    <w:rsid w:val="00D3711E"/>
    <w:rsid w:val="00D87985"/>
    <w:rsid w:val="00DB6011"/>
    <w:rsid w:val="00E022CC"/>
    <w:rsid w:val="00E2177E"/>
    <w:rsid w:val="00E44584"/>
    <w:rsid w:val="00E538E1"/>
    <w:rsid w:val="00E63600"/>
    <w:rsid w:val="00F651A7"/>
    <w:rsid w:val="00F75EAA"/>
    <w:rsid w:val="00FC273C"/>
    <w:rsid w:val="00FD1C79"/>
    <w:rsid w:val="048E72D0"/>
    <w:rsid w:val="099F6D83"/>
    <w:rsid w:val="0D4547F2"/>
    <w:rsid w:val="0DEE39A9"/>
    <w:rsid w:val="11FC789C"/>
    <w:rsid w:val="132D0BAD"/>
    <w:rsid w:val="15E707FB"/>
    <w:rsid w:val="1D155767"/>
    <w:rsid w:val="2A5B366E"/>
    <w:rsid w:val="2E223195"/>
    <w:rsid w:val="34193008"/>
    <w:rsid w:val="34FE2ED9"/>
    <w:rsid w:val="3711001F"/>
    <w:rsid w:val="37464714"/>
    <w:rsid w:val="37A07F36"/>
    <w:rsid w:val="3A39372F"/>
    <w:rsid w:val="3EFC28CE"/>
    <w:rsid w:val="40066E40"/>
    <w:rsid w:val="42C60A0A"/>
    <w:rsid w:val="44177CF3"/>
    <w:rsid w:val="46FC62B2"/>
    <w:rsid w:val="4A98090C"/>
    <w:rsid w:val="4B24395B"/>
    <w:rsid w:val="4CBD2024"/>
    <w:rsid w:val="51A80258"/>
    <w:rsid w:val="56015F00"/>
    <w:rsid w:val="56CF27C9"/>
    <w:rsid w:val="5C625BA5"/>
    <w:rsid w:val="5DF21B3C"/>
    <w:rsid w:val="5E55422F"/>
    <w:rsid w:val="60916392"/>
    <w:rsid w:val="60E32093"/>
    <w:rsid w:val="69944BD8"/>
    <w:rsid w:val="6B011965"/>
    <w:rsid w:val="74355A73"/>
    <w:rsid w:val="764F23AB"/>
    <w:rsid w:val="7B4105D4"/>
    <w:rsid w:val="7BFB5178"/>
    <w:rsid w:val="7C6F67BC"/>
    <w:rsid w:val="7CF60CB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1"/>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FollowedHyperlink"/>
    <w:basedOn w:val="7"/>
    <w:qFormat/>
    <w:uiPriority w:val="0"/>
    <w:rPr>
      <w:color w:val="3D3D3D"/>
      <w:u w:val="none"/>
    </w:rPr>
  </w:style>
  <w:style w:type="character" w:styleId="10">
    <w:name w:val="Hyperlink"/>
    <w:basedOn w:val="7"/>
    <w:unhideWhenUsed/>
    <w:qFormat/>
    <w:uiPriority w:val="99"/>
    <w:rPr>
      <w:color w:val="3D3D3D"/>
      <w:u w:val="none"/>
    </w:rPr>
  </w:style>
  <w:style w:type="character" w:customStyle="1" w:styleId="11">
    <w:name w:val="标题 2 字符"/>
    <w:basedOn w:val="7"/>
    <w:link w:val="2"/>
    <w:semiHidden/>
    <w:qFormat/>
    <w:uiPriority w:val="0"/>
    <w:rPr>
      <w:rFonts w:asciiTheme="majorHAnsi" w:hAnsiTheme="majorHAnsi" w:eastAsiaTheme="majorEastAsia" w:cstheme="majorBidi"/>
      <w:b/>
      <w:bCs/>
      <w:kern w:val="2"/>
      <w:sz w:val="32"/>
      <w:szCs w:val="32"/>
    </w:rPr>
  </w:style>
  <w:style w:type="character" w:customStyle="1" w:styleId="12">
    <w:name w:val="未处理的提及1"/>
    <w:basedOn w:val="7"/>
    <w:semiHidden/>
    <w:unhideWhenUsed/>
    <w:qFormat/>
    <w:uiPriority w:val="99"/>
    <w:rPr>
      <w:color w:val="605E5C"/>
      <w:shd w:val="clear" w:color="auto" w:fill="E1DFDD"/>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828</Words>
  <Characters>4722</Characters>
  <Lines>39</Lines>
  <Paragraphs>11</Paragraphs>
  <TotalTime>86</TotalTime>
  <ScaleCrop>false</ScaleCrop>
  <LinksUpToDate>false</LinksUpToDate>
  <CharactersWithSpaces>5539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2020-01-30T04:43:00Z</dcterms:created>
  <dc:creator>January</dc:creator>
  <cp:lastModifiedBy>weizaihu</cp:lastModifiedBy>
  <cp:lastPrinted>2021-01-26T08:16:00Z</cp:lastPrinted>
  <dcterms:modified xsi:type="dcterms:W3CDTF">2021-01-27T03:13:35Z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