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color w:val="auto"/>
          <w:sz w:val="32"/>
          <w:szCs w:val="32"/>
        </w:rPr>
      </w:pPr>
      <w:r>
        <w:rPr>
          <w:rFonts w:hint="eastAsia" w:ascii="黑体" w:hAnsi="黑体" w:eastAsia="黑体" w:cs="黑体"/>
          <w:color w:val="auto"/>
          <w:sz w:val="32"/>
          <w:szCs w:val="32"/>
        </w:rPr>
        <w:t>附件2</w:t>
      </w:r>
    </w:p>
    <w:p>
      <w:pPr>
        <w:spacing w:line="560" w:lineRule="exact"/>
        <w:rPr>
          <w:rFonts w:ascii="黑体" w:hAnsi="黑体" w:eastAsia="黑体" w:cs="黑体"/>
          <w:color w:val="auto"/>
          <w:sz w:val="32"/>
          <w:szCs w:val="32"/>
        </w:rPr>
      </w:pPr>
    </w:p>
    <w:p>
      <w:pPr>
        <w:spacing w:line="560" w:lineRule="exact"/>
        <w:jc w:val="center"/>
        <w:rPr>
          <w:rFonts w:ascii="方正小标宋简体" w:hAnsi="仿宋_GB2312" w:eastAsia="方正小标宋简体" w:cs="仿宋_GB2312"/>
          <w:color w:val="auto"/>
          <w:sz w:val="44"/>
          <w:szCs w:val="44"/>
        </w:rPr>
      </w:pPr>
      <w:bookmarkStart w:id="0" w:name="_GoBack"/>
      <w:r>
        <w:rPr>
          <w:rFonts w:hint="eastAsia" w:ascii="方正小标宋简体" w:hAnsi="仿宋_GB2312" w:eastAsia="方正小标宋简体" w:cs="仿宋_GB2312"/>
          <w:color w:val="auto"/>
          <w:sz w:val="44"/>
          <w:szCs w:val="44"/>
        </w:rPr>
        <w:t>关于无偿献血者免费乘坐城市公共交通</w:t>
      </w:r>
    </w:p>
    <w:p>
      <w:pPr>
        <w:spacing w:line="560" w:lineRule="exact"/>
        <w:jc w:val="center"/>
        <w:rPr>
          <w:rFonts w:ascii="方正小标宋简体" w:hAnsi="仿宋_GB2312" w:eastAsia="方正小标宋简体" w:cs="仿宋_GB2312"/>
          <w:color w:val="auto"/>
          <w:sz w:val="44"/>
          <w:szCs w:val="44"/>
        </w:rPr>
      </w:pPr>
      <w:r>
        <w:rPr>
          <w:rFonts w:hint="eastAsia" w:ascii="方正小标宋简体" w:hAnsi="仿宋_GB2312" w:eastAsia="方正小标宋简体" w:cs="仿宋_GB2312"/>
          <w:color w:val="auto"/>
          <w:sz w:val="44"/>
          <w:szCs w:val="44"/>
        </w:rPr>
        <w:t>工具的实施方案</w:t>
      </w:r>
      <w:bookmarkEnd w:id="0"/>
    </w:p>
    <w:p>
      <w:pPr>
        <w:spacing w:line="560" w:lineRule="exact"/>
        <w:ind w:firstLine="640" w:firstLineChars="200"/>
        <w:rPr>
          <w:rFonts w:ascii="仿宋_GB2312" w:hAnsi="仿宋_GB2312" w:eastAsia="仿宋_GB2312" w:cs="仿宋_GB2312"/>
          <w:color w:val="auto"/>
          <w:sz w:val="32"/>
          <w:szCs w:val="32"/>
        </w:rPr>
      </w:pPr>
    </w:p>
    <w:p>
      <w:pPr>
        <w:tabs>
          <w:tab w:val="left" w:pos="312"/>
        </w:tabs>
        <w:spacing w:line="560" w:lineRule="exact"/>
        <w:ind w:firstLine="720" w:firstLineChars="200"/>
        <w:rPr>
          <w:rFonts w:ascii="仿宋_GB2312" w:hAnsi="仿宋_GB2312" w:eastAsia="仿宋_GB2312" w:cs="仿宋_GB2312"/>
          <w:color w:val="auto"/>
          <w:spacing w:val="20"/>
          <w:sz w:val="32"/>
          <w:szCs w:val="32"/>
          <w:lang w:bidi="ar"/>
        </w:rPr>
      </w:pPr>
      <w:r>
        <w:rPr>
          <w:rFonts w:hint="eastAsia" w:ascii="仿宋_GB2312" w:hAnsi="仿宋_GB2312" w:eastAsia="仿宋_GB2312" w:cs="仿宋_GB2312"/>
          <w:color w:val="auto"/>
          <w:spacing w:val="20"/>
          <w:sz w:val="32"/>
          <w:szCs w:val="32"/>
          <w:lang w:bidi="ar"/>
        </w:rPr>
        <w:t>根据济南市卫生健康委员会等6部门《关于落实无偿献血者“三免政策”的通知》要求，结合我市实际，制定无偿献血者免费乘坐城市公共交通工具的实施方案：</w:t>
      </w:r>
    </w:p>
    <w:p>
      <w:pPr>
        <w:spacing w:line="560" w:lineRule="exact"/>
        <w:ind w:firstLine="640" w:firstLineChars="200"/>
        <w:rPr>
          <w:rFonts w:ascii="黑体" w:hAnsi="黑体" w:eastAsia="黑体" w:cs="楷体_GB2312"/>
          <w:color w:val="auto"/>
          <w:sz w:val="32"/>
          <w:szCs w:val="32"/>
        </w:rPr>
      </w:pPr>
      <w:r>
        <w:rPr>
          <w:rFonts w:hint="eastAsia" w:ascii="黑体" w:hAnsi="黑体" w:eastAsia="黑体" w:cs="楷体_GB2312"/>
          <w:color w:val="auto"/>
          <w:sz w:val="32"/>
          <w:szCs w:val="32"/>
        </w:rPr>
        <w:t>一、申请条件</w:t>
      </w:r>
    </w:p>
    <w:p>
      <w:pPr>
        <w:pStyle w:val="5"/>
        <w:spacing w:line="560" w:lineRule="exact"/>
        <w:ind w:firstLine="640" w:firstLineChars="200"/>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（一）在我市荣获国家无偿献血奉献奖的献血者；</w:t>
      </w:r>
    </w:p>
    <w:p>
      <w:pPr>
        <w:pStyle w:val="5"/>
        <w:spacing w:line="560" w:lineRule="exact"/>
        <w:ind w:firstLine="640" w:firstLineChars="200"/>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（二）在我市荣获国家无偿献血志愿服务终身荣誉奖的志愿者；</w:t>
      </w:r>
    </w:p>
    <w:p>
      <w:pPr>
        <w:pStyle w:val="5"/>
        <w:spacing w:line="560" w:lineRule="exact"/>
        <w:ind w:firstLine="640" w:firstLineChars="200"/>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（三）在我市荣获国家无偿捐献造血干细胞奖的捐献者；</w:t>
      </w:r>
    </w:p>
    <w:p>
      <w:pPr>
        <w:pStyle w:val="5"/>
        <w:spacing w:line="560" w:lineRule="exact"/>
        <w:ind w:firstLine="640" w:firstLineChars="200"/>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（四）户口在济南、长期工作生活在济南的造血干细胞捐献者；</w:t>
      </w:r>
    </w:p>
    <w:p>
      <w:pPr>
        <w:pStyle w:val="5"/>
        <w:spacing w:line="560" w:lineRule="exact"/>
        <w:ind w:firstLine="640" w:firstLineChars="200"/>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（五）符合申报上述奖项及条件的个人。</w:t>
      </w:r>
    </w:p>
    <w:p>
      <w:pPr>
        <w:spacing w:line="560" w:lineRule="exact"/>
        <w:ind w:firstLine="640" w:firstLineChars="200"/>
        <w:rPr>
          <w:rFonts w:ascii="黑体" w:hAnsi="黑体" w:eastAsia="黑体" w:cs="楷体_GB2312"/>
          <w:color w:val="auto"/>
          <w:sz w:val="32"/>
          <w:szCs w:val="32"/>
        </w:rPr>
      </w:pPr>
      <w:r>
        <w:rPr>
          <w:rFonts w:hint="eastAsia" w:ascii="黑体" w:hAnsi="黑体" w:eastAsia="黑体" w:cs="楷体_GB2312"/>
          <w:color w:val="auto"/>
          <w:sz w:val="32"/>
          <w:szCs w:val="32"/>
        </w:rPr>
        <w:t>二、优惠标准</w:t>
      </w:r>
    </w:p>
    <w:p>
      <w:pPr>
        <w:tabs>
          <w:tab w:val="left" w:pos="312"/>
        </w:tabs>
        <w:spacing w:line="560" w:lineRule="exact"/>
        <w:ind w:firstLine="720" w:firstLineChars="200"/>
        <w:rPr>
          <w:rFonts w:ascii="仿宋_GB2312" w:hAnsi="仿宋_GB2312" w:eastAsia="仿宋_GB2312" w:cs="仿宋_GB2312"/>
          <w:color w:val="auto"/>
          <w:spacing w:val="20"/>
          <w:sz w:val="32"/>
          <w:szCs w:val="32"/>
          <w:lang w:bidi="ar"/>
        </w:rPr>
      </w:pPr>
      <w:r>
        <w:rPr>
          <w:rFonts w:hint="eastAsia" w:ascii="仿宋_GB2312" w:hAnsi="仿宋_GB2312" w:eastAsia="仿宋_GB2312" w:cs="仿宋_GB2312"/>
          <w:color w:val="auto"/>
          <w:spacing w:val="20"/>
          <w:sz w:val="32"/>
          <w:szCs w:val="32"/>
          <w:lang w:bidi="ar"/>
        </w:rPr>
        <w:t>持“山东省无偿献血荣誉乘车卡（济南）”（以下简称“荣誉卡”）可免费乘坐济南公交集团所属常规城市公交线路（不含定制公交、城际公交、区际公交、长途客运班线）及济南轨道交通集团所属地铁线路。</w:t>
      </w:r>
    </w:p>
    <w:p>
      <w:pPr>
        <w:spacing w:line="560" w:lineRule="exact"/>
        <w:ind w:firstLine="640" w:firstLineChars="200"/>
        <w:rPr>
          <w:rFonts w:ascii="黑体" w:hAnsi="黑体" w:eastAsia="黑体" w:cs="楷体_GB2312"/>
          <w:color w:val="auto"/>
          <w:sz w:val="32"/>
          <w:szCs w:val="32"/>
        </w:rPr>
      </w:pPr>
      <w:r>
        <w:rPr>
          <w:rFonts w:hint="eastAsia" w:ascii="黑体" w:hAnsi="黑体" w:eastAsia="黑体" w:cs="楷体_GB2312"/>
          <w:color w:val="auto"/>
          <w:sz w:val="32"/>
          <w:szCs w:val="32"/>
        </w:rPr>
        <w:t>三、申请方式和办理流程</w:t>
      </w:r>
    </w:p>
    <w:p>
      <w:pPr>
        <w:adjustRightInd w:val="0"/>
        <w:snapToGrid w:val="0"/>
        <w:spacing w:line="560" w:lineRule="exact"/>
        <w:ind w:firstLine="720" w:firstLineChars="200"/>
        <w:rPr>
          <w:rFonts w:ascii="仿宋_GB2312" w:hAnsi="仿宋_GB2312" w:eastAsia="仿宋_GB2312" w:cs="仿宋_GB2312"/>
          <w:color w:val="auto"/>
          <w:spacing w:val="20"/>
          <w:sz w:val="32"/>
          <w:szCs w:val="32"/>
          <w:lang w:bidi="ar"/>
        </w:rPr>
      </w:pPr>
      <w:r>
        <w:rPr>
          <w:rFonts w:hint="eastAsia" w:ascii="楷体_GB2312" w:hAnsi="楷体_GB2312" w:eastAsia="楷体_GB2312" w:cs="楷体_GB2312"/>
          <w:color w:val="auto"/>
          <w:spacing w:val="20"/>
          <w:sz w:val="32"/>
          <w:szCs w:val="32"/>
          <w:lang w:bidi="ar"/>
        </w:rPr>
        <w:t>（一）申请方式。</w:t>
      </w:r>
      <w:r>
        <w:rPr>
          <w:rFonts w:hint="eastAsia" w:ascii="仿宋_GB2312" w:hAnsi="仿宋_GB2312" w:eastAsia="仿宋_GB2312" w:cs="仿宋_GB2312"/>
          <w:color w:val="auto"/>
          <w:spacing w:val="20"/>
          <w:sz w:val="32"/>
          <w:szCs w:val="32"/>
          <w:lang w:bidi="ar"/>
        </w:rPr>
        <w:t>申请人员携带居民身份证原件、个人2寸免冠照片一张到就近网点办理。</w:t>
      </w:r>
    </w:p>
    <w:p>
      <w:pPr>
        <w:adjustRightInd w:val="0"/>
        <w:snapToGrid w:val="0"/>
        <w:spacing w:line="560" w:lineRule="exact"/>
        <w:ind w:firstLine="720" w:firstLineChars="200"/>
        <w:rPr>
          <w:rFonts w:ascii="仿宋_GB2312" w:hAnsi="仿宋_GB2312" w:eastAsia="仿宋_GB2312" w:cs="仿宋_GB2312"/>
          <w:color w:val="auto"/>
          <w:spacing w:val="20"/>
          <w:sz w:val="32"/>
          <w:szCs w:val="32"/>
          <w:lang w:bidi="ar"/>
        </w:rPr>
      </w:pPr>
      <w:r>
        <w:rPr>
          <w:rFonts w:hint="eastAsia" w:ascii="楷体_GB2312" w:hAnsi="楷体_GB2312" w:eastAsia="楷体_GB2312" w:cs="楷体_GB2312"/>
          <w:color w:val="auto"/>
          <w:spacing w:val="20"/>
          <w:sz w:val="32"/>
          <w:szCs w:val="32"/>
          <w:lang w:bidi="ar"/>
        </w:rPr>
        <w:t>（二）补卡、换卡流程。</w:t>
      </w:r>
      <w:r>
        <w:rPr>
          <w:rFonts w:hint="eastAsia" w:ascii="仿宋_GB2312" w:hAnsi="仿宋_GB2312" w:eastAsia="仿宋_GB2312" w:cs="仿宋_GB2312"/>
          <w:color w:val="auto"/>
          <w:spacing w:val="20"/>
          <w:sz w:val="32"/>
          <w:szCs w:val="32"/>
          <w:lang w:bidi="ar"/>
        </w:rPr>
        <w:t>实行一人一卡一号，丢失卡或损坏卡，自新卡办理后，旧卡挂失无法使用。补卡、换卡流程，参照办卡流程执行，补卡、换卡需交押金10元。</w:t>
      </w:r>
    </w:p>
    <w:p>
      <w:pPr>
        <w:adjustRightInd w:val="0"/>
        <w:snapToGrid w:val="0"/>
        <w:spacing w:line="560" w:lineRule="exact"/>
        <w:ind w:firstLine="720" w:firstLineChars="200"/>
        <w:rPr>
          <w:rFonts w:ascii="仿宋_GB2312" w:hAnsi="仿宋_GB2312" w:eastAsia="仿宋_GB2312" w:cs="仿宋_GB2312"/>
          <w:color w:val="auto"/>
          <w:spacing w:val="20"/>
          <w:sz w:val="32"/>
          <w:szCs w:val="32"/>
          <w:lang w:bidi="ar"/>
        </w:rPr>
      </w:pPr>
      <w:r>
        <w:rPr>
          <w:rFonts w:hint="eastAsia" w:ascii="楷体_GB2312" w:hAnsi="楷体_GB2312" w:eastAsia="楷体_GB2312" w:cs="楷体_GB2312"/>
          <w:color w:val="auto"/>
          <w:spacing w:val="20"/>
          <w:sz w:val="32"/>
          <w:szCs w:val="32"/>
          <w:lang w:bidi="ar"/>
        </w:rPr>
        <w:t>（三）退卡环节。</w:t>
      </w:r>
      <w:r>
        <w:rPr>
          <w:rFonts w:hint="eastAsia" w:ascii="仿宋_GB2312" w:hAnsi="仿宋_GB2312" w:eastAsia="仿宋_GB2312" w:cs="仿宋_GB2312"/>
          <w:color w:val="auto"/>
          <w:spacing w:val="20"/>
          <w:sz w:val="32"/>
          <w:szCs w:val="32"/>
          <w:lang w:bidi="ar"/>
        </w:rPr>
        <w:t>持卡人随时持卡办理退卡业务，承办人退还补卡、换卡所交的10元押金。</w:t>
      </w:r>
    </w:p>
    <w:p>
      <w:pPr>
        <w:adjustRightInd w:val="0"/>
        <w:snapToGrid w:val="0"/>
        <w:spacing w:line="560" w:lineRule="exact"/>
        <w:ind w:firstLine="720" w:firstLineChars="200"/>
        <w:rPr>
          <w:rFonts w:ascii="仿宋_GB2312" w:hAnsi="仿宋_GB2312" w:eastAsia="仿宋_GB2312" w:cs="仿宋_GB2312"/>
          <w:color w:val="auto"/>
          <w:spacing w:val="20"/>
          <w:sz w:val="32"/>
          <w:szCs w:val="32"/>
          <w:lang w:bidi="ar"/>
        </w:rPr>
      </w:pPr>
      <w:r>
        <w:rPr>
          <w:rFonts w:hint="eastAsia" w:ascii="仿宋_GB2312" w:hAnsi="仿宋_GB2312" w:eastAsia="仿宋_GB2312" w:cs="仿宋_GB2312"/>
          <w:color w:val="auto"/>
          <w:spacing w:val="20"/>
          <w:sz w:val="32"/>
          <w:szCs w:val="32"/>
          <w:lang w:bidi="ar"/>
        </w:rPr>
        <w:t>具体流程按照济南公共交通集团有限公司和济南轨道交通集团有限公司有关规定执行。</w:t>
      </w:r>
    </w:p>
    <w:p>
      <w:pPr>
        <w:spacing w:line="560" w:lineRule="exact"/>
        <w:ind w:firstLine="640" w:firstLineChars="200"/>
        <w:rPr>
          <w:rFonts w:ascii="黑体" w:hAnsi="黑体" w:eastAsia="黑体" w:cs="楷体_GB2312"/>
          <w:color w:val="auto"/>
          <w:sz w:val="32"/>
          <w:szCs w:val="32"/>
        </w:rPr>
      </w:pPr>
      <w:r>
        <w:rPr>
          <w:rFonts w:hint="eastAsia" w:ascii="黑体" w:hAnsi="黑体" w:eastAsia="黑体" w:cs="楷体_GB2312"/>
          <w:color w:val="auto"/>
          <w:sz w:val="32"/>
          <w:szCs w:val="32"/>
        </w:rPr>
        <w:t>四、有关要求</w:t>
      </w:r>
    </w:p>
    <w:p>
      <w:pPr>
        <w:adjustRightInd w:val="0"/>
        <w:snapToGrid w:val="0"/>
        <w:spacing w:line="560" w:lineRule="exact"/>
        <w:ind w:firstLine="720" w:firstLineChars="200"/>
        <w:rPr>
          <w:rFonts w:ascii="仿宋_GB2312" w:hAnsi="仿宋_GB2312" w:eastAsia="仿宋_GB2312" w:cs="仿宋_GB2312"/>
          <w:color w:val="auto"/>
          <w:spacing w:val="20"/>
          <w:sz w:val="32"/>
          <w:szCs w:val="32"/>
          <w:lang w:bidi="ar"/>
        </w:rPr>
      </w:pPr>
      <w:r>
        <w:rPr>
          <w:rFonts w:hint="eastAsia" w:ascii="仿宋_GB2312" w:hAnsi="仿宋_GB2312" w:eastAsia="仿宋_GB2312" w:cs="仿宋_GB2312"/>
          <w:color w:val="auto"/>
          <w:spacing w:val="20"/>
          <w:sz w:val="32"/>
          <w:szCs w:val="32"/>
          <w:lang w:bidi="ar"/>
        </w:rPr>
        <w:t>（一）“荣誉卡”使用时应遵守以下规定：</w:t>
      </w:r>
    </w:p>
    <w:p>
      <w:pPr>
        <w:adjustRightInd w:val="0"/>
        <w:snapToGrid w:val="0"/>
        <w:spacing w:line="560" w:lineRule="exact"/>
        <w:ind w:firstLine="720" w:firstLineChars="200"/>
        <w:rPr>
          <w:rFonts w:ascii="仿宋_GB2312" w:hAnsi="仿宋_GB2312" w:eastAsia="仿宋_GB2312" w:cs="仿宋_GB2312"/>
          <w:color w:val="auto"/>
          <w:spacing w:val="20"/>
          <w:sz w:val="32"/>
          <w:szCs w:val="32"/>
          <w:lang w:bidi="ar"/>
        </w:rPr>
      </w:pPr>
      <w:r>
        <w:rPr>
          <w:rFonts w:hint="eastAsia" w:ascii="仿宋_GB2312" w:hAnsi="仿宋_GB2312" w:eastAsia="仿宋_GB2312" w:cs="仿宋_GB2312"/>
          <w:color w:val="auto"/>
          <w:spacing w:val="20"/>
          <w:sz w:val="32"/>
          <w:szCs w:val="32"/>
          <w:lang w:bidi="ar"/>
        </w:rPr>
        <w:t>1.“荣誉卡”采用实名制办卡方式，仅限本人使用，不得冒用或转借他人；已办理其他免费卡证（如爱心卡、拥军卡等）的乘客无法重复办理“荣誉卡”，可将已办理的免费类卡退回后重新办理。</w:t>
      </w:r>
    </w:p>
    <w:p>
      <w:pPr>
        <w:adjustRightInd w:val="0"/>
        <w:snapToGrid w:val="0"/>
        <w:spacing w:line="560" w:lineRule="exact"/>
        <w:ind w:firstLine="720" w:firstLineChars="200"/>
        <w:rPr>
          <w:rFonts w:ascii="仿宋_GB2312" w:hAnsi="仿宋_GB2312" w:eastAsia="仿宋_GB2312" w:cs="仿宋_GB2312"/>
          <w:color w:val="auto"/>
          <w:spacing w:val="20"/>
          <w:sz w:val="32"/>
          <w:szCs w:val="32"/>
          <w:lang w:bidi="ar"/>
        </w:rPr>
      </w:pPr>
      <w:r>
        <w:rPr>
          <w:rFonts w:hint="eastAsia" w:ascii="仿宋_GB2312" w:hAnsi="仿宋_GB2312" w:eastAsia="仿宋_GB2312" w:cs="仿宋_GB2312"/>
          <w:color w:val="auto"/>
          <w:spacing w:val="20"/>
          <w:sz w:val="32"/>
          <w:szCs w:val="32"/>
          <w:lang w:bidi="ar"/>
        </w:rPr>
        <w:t>2.乘车时应主动刷卡出示，接受工作人员查验；未持卡或持无效卡乘车，应按所乘车线路票价购票。</w:t>
      </w:r>
    </w:p>
    <w:p>
      <w:pPr>
        <w:adjustRightInd w:val="0"/>
        <w:snapToGrid w:val="0"/>
        <w:spacing w:line="560" w:lineRule="exact"/>
        <w:ind w:firstLine="720" w:firstLineChars="200"/>
        <w:rPr>
          <w:rFonts w:ascii="仿宋_GB2312" w:hAnsi="仿宋_GB2312" w:eastAsia="仿宋_GB2312" w:cs="仿宋_GB2312"/>
          <w:color w:val="auto"/>
          <w:spacing w:val="20"/>
          <w:sz w:val="32"/>
          <w:szCs w:val="32"/>
          <w:lang w:bidi="ar"/>
        </w:rPr>
      </w:pPr>
      <w:r>
        <w:rPr>
          <w:rFonts w:hint="eastAsia" w:ascii="仿宋_GB2312" w:hAnsi="仿宋_GB2312" w:eastAsia="仿宋_GB2312" w:cs="仿宋_GB2312"/>
          <w:color w:val="auto"/>
          <w:spacing w:val="20"/>
          <w:sz w:val="32"/>
          <w:szCs w:val="32"/>
          <w:lang w:bidi="ar"/>
        </w:rPr>
        <w:t>3.乘坐规定线路以外的公共交通线路，须按所乘线路票价购票。</w:t>
      </w:r>
    </w:p>
    <w:p>
      <w:pPr>
        <w:adjustRightInd w:val="0"/>
        <w:snapToGrid w:val="0"/>
        <w:spacing w:line="560" w:lineRule="exact"/>
        <w:ind w:firstLine="720" w:firstLineChars="200"/>
        <w:rPr>
          <w:rFonts w:ascii="仿宋_GB2312" w:hAnsi="仿宋_GB2312" w:eastAsia="仿宋_GB2312" w:cs="仿宋_GB2312"/>
          <w:color w:val="auto"/>
          <w:spacing w:val="20"/>
          <w:sz w:val="32"/>
          <w:szCs w:val="32"/>
          <w:lang w:bidi="ar"/>
        </w:rPr>
      </w:pPr>
      <w:r>
        <w:rPr>
          <w:rFonts w:hint="eastAsia" w:ascii="仿宋_GB2312" w:hAnsi="仿宋_GB2312" w:eastAsia="仿宋_GB2312" w:cs="仿宋_GB2312"/>
          <w:color w:val="auto"/>
          <w:spacing w:val="20"/>
          <w:sz w:val="32"/>
          <w:szCs w:val="32"/>
          <w:lang w:bidi="ar"/>
        </w:rPr>
        <w:t>违反“荣誉卡”使用规定的，济南公共交通集团有限公司和济南轨道交通集团有限公司有权收回乘车卡，不再予以补办。</w:t>
      </w:r>
    </w:p>
    <w:p>
      <w:pPr>
        <w:adjustRightInd w:val="0"/>
        <w:snapToGrid w:val="0"/>
        <w:spacing w:line="560" w:lineRule="exact"/>
        <w:ind w:firstLine="720" w:firstLineChars="200"/>
        <w:rPr>
          <w:rFonts w:ascii="仿宋_GB2312" w:hAnsi="仿宋_GB2312" w:eastAsia="仿宋_GB2312" w:cs="仿宋_GB2312"/>
          <w:color w:val="auto"/>
          <w:spacing w:val="20"/>
          <w:sz w:val="32"/>
          <w:szCs w:val="32"/>
          <w:lang w:bidi="ar"/>
        </w:rPr>
      </w:pPr>
      <w:r>
        <w:rPr>
          <w:rFonts w:hint="eastAsia" w:ascii="仿宋_GB2312" w:hAnsi="仿宋_GB2312" w:eastAsia="仿宋_GB2312" w:cs="仿宋_GB2312"/>
          <w:color w:val="auto"/>
          <w:spacing w:val="20"/>
          <w:sz w:val="32"/>
          <w:szCs w:val="32"/>
          <w:lang w:bidi="ar"/>
        </w:rPr>
        <w:t>（二）济南公共交通集团有限公司和济南轨道交通集团有限公司应做好数据信息的统计工作，因“荣誉卡”实施过程中增加的亏损，经审核后，纳入财政补贴范围。</w:t>
      </w:r>
    </w:p>
    <w:p>
      <w:pPr>
        <w:adjustRightInd w:val="0"/>
        <w:snapToGrid w:val="0"/>
        <w:spacing w:line="560" w:lineRule="exact"/>
        <w:ind w:firstLine="720" w:firstLineChars="200"/>
        <w:rPr>
          <w:rFonts w:ascii="仿宋_GB2312" w:hAnsi="宋体" w:eastAsia="仿宋_GB2312" w:cs="仿宋_GB2312"/>
          <w:color w:val="auto"/>
          <w:sz w:val="31"/>
          <w:szCs w:val="31"/>
          <w:lang w:bidi="ar"/>
        </w:rPr>
      </w:pPr>
      <w:r>
        <w:rPr>
          <w:rFonts w:hint="eastAsia" w:ascii="仿宋_GB2312" w:hAnsi="仿宋_GB2312" w:eastAsia="仿宋_GB2312" w:cs="仿宋_GB2312"/>
          <w:color w:val="auto"/>
          <w:spacing w:val="20"/>
          <w:sz w:val="32"/>
          <w:szCs w:val="32"/>
          <w:lang w:bidi="ar"/>
        </w:rPr>
        <w:t>本方案自2023年6月1日起实施，各区县（功能区）参照执行。</w:t>
      </w:r>
    </w:p>
    <w:p>
      <w:pPr>
        <w:spacing w:line="560" w:lineRule="exact"/>
        <w:rPr>
          <w:rFonts w:ascii="仿宋_GB2312" w:hAnsi="宋体" w:eastAsia="仿宋_GB2312" w:cs="仿宋_GB2312"/>
          <w:color w:val="auto"/>
          <w:sz w:val="31"/>
          <w:szCs w:val="31"/>
          <w:lang w:bidi="ar"/>
        </w:rPr>
      </w:pPr>
    </w:p>
    <w:p>
      <w:pPr>
        <w:spacing w:line="560" w:lineRule="exact"/>
        <w:rPr>
          <w:rFonts w:ascii="仿宋_GB2312" w:hAnsi="宋体" w:eastAsia="仿宋_GB2312" w:cs="仿宋_GB2312"/>
          <w:color w:val="auto"/>
          <w:sz w:val="31"/>
          <w:szCs w:val="31"/>
          <w:lang w:bidi="ar"/>
        </w:rPr>
      </w:pPr>
    </w:p>
    <w:p>
      <w:pPr>
        <w:spacing w:line="560" w:lineRule="exact"/>
        <w:rPr>
          <w:rFonts w:ascii="仿宋_GB2312" w:hAnsi="宋体" w:eastAsia="仿宋_GB2312" w:cs="仿宋_GB2312"/>
          <w:color w:val="auto"/>
          <w:sz w:val="31"/>
          <w:szCs w:val="31"/>
          <w:lang w:bidi="ar"/>
        </w:rPr>
      </w:pPr>
    </w:p>
    <w:p>
      <w:pPr>
        <w:spacing w:line="560" w:lineRule="exact"/>
        <w:rPr>
          <w:rFonts w:ascii="仿宋_GB2312" w:hAnsi="宋体" w:eastAsia="仿宋_GB2312" w:cs="仿宋_GB2312"/>
          <w:color w:val="auto"/>
          <w:sz w:val="31"/>
          <w:szCs w:val="31"/>
          <w:lang w:bidi="ar"/>
        </w:rPr>
      </w:pPr>
    </w:p>
    <w:p>
      <w:pPr>
        <w:pStyle w:val="2"/>
        <w:rPr>
          <w:rFonts w:ascii="仿宋_GB2312" w:hAnsi="宋体" w:eastAsia="仿宋_GB2312" w:cs="仿宋_GB2312"/>
          <w:color w:val="auto"/>
          <w:sz w:val="31"/>
          <w:szCs w:val="31"/>
          <w:lang w:bidi="ar"/>
        </w:rPr>
      </w:pPr>
    </w:p>
    <w:p>
      <w:pPr>
        <w:rPr>
          <w:rFonts w:ascii="仿宋_GB2312" w:hAnsi="宋体" w:eastAsia="仿宋_GB2312" w:cs="仿宋_GB2312"/>
          <w:color w:val="auto"/>
          <w:sz w:val="31"/>
          <w:szCs w:val="31"/>
          <w:lang w:bidi="ar"/>
        </w:rPr>
      </w:pPr>
    </w:p>
    <w:p>
      <w:pPr>
        <w:pStyle w:val="2"/>
        <w:rPr>
          <w:rFonts w:ascii="仿宋_GB2312" w:hAnsi="宋体" w:eastAsia="仿宋_GB2312" w:cs="仿宋_GB2312"/>
          <w:color w:val="auto"/>
          <w:sz w:val="31"/>
          <w:szCs w:val="31"/>
          <w:lang w:bidi="ar"/>
        </w:rPr>
      </w:pPr>
    </w:p>
    <w:p>
      <w:pPr>
        <w:rPr>
          <w:color w:val="auto"/>
        </w:rPr>
      </w:pPr>
    </w:p>
    <w:p>
      <w:pPr>
        <w:spacing w:line="560" w:lineRule="exact"/>
        <w:rPr>
          <w:rFonts w:ascii="仿宋_GB2312" w:hAnsi="宋体" w:eastAsia="仿宋_GB2312" w:cs="仿宋_GB2312"/>
          <w:color w:val="auto"/>
          <w:sz w:val="31"/>
          <w:szCs w:val="31"/>
          <w:lang w:bidi="ar"/>
        </w:rPr>
      </w:pPr>
    </w:p>
    <w:p>
      <w:pPr>
        <w:spacing w:line="560" w:lineRule="exact"/>
        <w:rPr>
          <w:rFonts w:ascii="仿宋_GB2312" w:hAnsi="宋体" w:eastAsia="仿宋_GB2312" w:cs="仿宋_GB2312"/>
          <w:color w:val="auto"/>
          <w:sz w:val="31"/>
          <w:szCs w:val="31"/>
          <w:lang w:bidi="ar"/>
        </w:rPr>
      </w:pPr>
    </w:p>
    <w:p>
      <w:pPr>
        <w:spacing w:line="560" w:lineRule="exact"/>
        <w:rPr>
          <w:rFonts w:ascii="仿宋_GB2312" w:hAnsi="宋体" w:eastAsia="仿宋_GB2312" w:cs="仿宋_GB2312"/>
          <w:color w:val="auto"/>
          <w:sz w:val="31"/>
          <w:szCs w:val="31"/>
          <w:lang w:bidi="ar"/>
        </w:rPr>
      </w:pPr>
    </w:p>
    <w:p>
      <w:pPr>
        <w:spacing w:line="560" w:lineRule="exact"/>
        <w:rPr>
          <w:rFonts w:ascii="仿宋_GB2312" w:hAnsi="宋体" w:eastAsia="仿宋_GB2312" w:cs="仿宋_GB2312"/>
          <w:color w:val="auto"/>
          <w:sz w:val="31"/>
          <w:szCs w:val="31"/>
          <w:lang w:bidi="ar"/>
        </w:rPr>
      </w:pPr>
    </w:p>
    <w:p>
      <w:pPr>
        <w:pStyle w:val="2"/>
        <w:rPr>
          <w:rFonts w:ascii="仿宋_GB2312" w:hAnsi="宋体" w:eastAsia="仿宋_GB2312" w:cs="仿宋_GB2312"/>
          <w:color w:val="auto"/>
          <w:sz w:val="31"/>
          <w:szCs w:val="31"/>
          <w:lang w:bidi="ar"/>
        </w:rPr>
      </w:pPr>
    </w:p>
    <w:p>
      <w:pPr>
        <w:rPr>
          <w:color w:val="auto"/>
        </w:rPr>
      </w:pPr>
    </w:p>
    <w:p>
      <w:pPr>
        <w:spacing w:line="580" w:lineRule="exact"/>
        <w:rPr>
          <w:rFonts w:ascii="仿宋" w:hAnsi="仿宋" w:eastAsia="仿宋"/>
          <w:color w:val="auto"/>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仿宋-GB13000">
    <w:altName w:val="仿宋"/>
    <w:panose1 w:val="00000000000000000000"/>
    <w:charset w:val="86"/>
    <w:family w:val="auto"/>
    <w:pitch w:val="default"/>
    <w:sig w:usb0="00000000" w:usb1="00000000" w:usb2="00000016" w:usb3="00000000" w:csb0="0004000F"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jZDliZDdjNzJhMWJjZjE5MjAyMGQzOWJjNjFjMGQifQ=="/>
  </w:docVars>
  <w:rsids>
    <w:rsidRoot w:val="789A4568"/>
    <w:rsid w:val="00001E25"/>
    <w:rsid w:val="000902A8"/>
    <w:rsid w:val="000A282E"/>
    <w:rsid w:val="000D6AD3"/>
    <w:rsid w:val="001378FC"/>
    <w:rsid w:val="001A7CE7"/>
    <w:rsid w:val="001C2DFD"/>
    <w:rsid w:val="003B5343"/>
    <w:rsid w:val="00606343"/>
    <w:rsid w:val="006D48DE"/>
    <w:rsid w:val="00720C18"/>
    <w:rsid w:val="008E4049"/>
    <w:rsid w:val="009A5857"/>
    <w:rsid w:val="009F57E6"/>
    <w:rsid w:val="00A02122"/>
    <w:rsid w:val="00B42633"/>
    <w:rsid w:val="00C57500"/>
    <w:rsid w:val="00DB0107"/>
    <w:rsid w:val="00E47095"/>
    <w:rsid w:val="00EB59BB"/>
    <w:rsid w:val="00F16293"/>
    <w:rsid w:val="00F21F59"/>
    <w:rsid w:val="03224E10"/>
    <w:rsid w:val="03686718"/>
    <w:rsid w:val="04091A02"/>
    <w:rsid w:val="052B2F21"/>
    <w:rsid w:val="055B0B23"/>
    <w:rsid w:val="0A466107"/>
    <w:rsid w:val="0B4765DB"/>
    <w:rsid w:val="103A7BA8"/>
    <w:rsid w:val="1597341B"/>
    <w:rsid w:val="1F137445"/>
    <w:rsid w:val="223119FD"/>
    <w:rsid w:val="22350768"/>
    <w:rsid w:val="22884BDC"/>
    <w:rsid w:val="256372C3"/>
    <w:rsid w:val="28BA236E"/>
    <w:rsid w:val="28D70D73"/>
    <w:rsid w:val="2B920D55"/>
    <w:rsid w:val="2BC345FC"/>
    <w:rsid w:val="2BC53A8D"/>
    <w:rsid w:val="30B00B8C"/>
    <w:rsid w:val="3790262B"/>
    <w:rsid w:val="382267E5"/>
    <w:rsid w:val="3A850402"/>
    <w:rsid w:val="3F7FD997"/>
    <w:rsid w:val="404A0E8E"/>
    <w:rsid w:val="45B65648"/>
    <w:rsid w:val="47725F18"/>
    <w:rsid w:val="484B7795"/>
    <w:rsid w:val="4AD10481"/>
    <w:rsid w:val="4CD97497"/>
    <w:rsid w:val="4E121B55"/>
    <w:rsid w:val="4FBD6E83"/>
    <w:rsid w:val="53305F83"/>
    <w:rsid w:val="59BD660D"/>
    <w:rsid w:val="5ABD72ED"/>
    <w:rsid w:val="5D1F3B39"/>
    <w:rsid w:val="5DE374A7"/>
    <w:rsid w:val="61DC5090"/>
    <w:rsid w:val="667D318D"/>
    <w:rsid w:val="6B2F565A"/>
    <w:rsid w:val="789A4568"/>
    <w:rsid w:val="796C21B2"/>
    <w:rsid w:val="7AA14E87"/>
    <w:rsid w:val="7AA63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rPr>
      <w:sz w:val="24"/>
    </w:rPr>
  </w:style>
  <w:style w:type="character" w:styleId="8">
    <w:name w:val="Strong"/>
    <w:basedOn w:val="7"/>
    <w:qFormat/>
    <w:uiPriority w:val="0"/>
    <w:rPr>
      <w:b/>
    </w:rPr>
  </w:style>
  <w:style w:type="character" w:styleId="9">
    <w:name w:val="Hyperlink"/>
    <w:basedOn w:val="7"/>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淘宝店 紫萱科技97</Company>
  <Pages>15</Pages>
  <Words>4340</Words>
  <Characters>4397</Characters>
  <Lines>3</Lines>
  <Paragraphs>11</Paragraphs>
  <TotalTime>7</TotalTime>
  <ScaleCrop>false</ScaleCrop>
  <LinksUpToDate>false</LinksUpToDate>
  <CharactersWithSpaces>4408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2023-05-31T01:54:00Z</dcterms:created>
  <dc:creator>暖，深秋</dc:creator>
  <cp:lastModifiedBy>weizaihu</cp:lastModifiedBy>
  <cp:lastPrinted>2023-05-25T02:18:00Z</cp:lastPrinted>
  <dcterms:modified xsi:type="dcterms:W3CDTF">2023-06-01T09:34:29Z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1346429A419C4E028C9F623974A21E39_13</vt:lpwstr>
  </property>
</Properties>
</file>