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C2141">
      <w:pPr>
        <w:spacing w:before="104" w:line="224" w:lineRule="auto"/>
        <w:rPr>
          <w:rFonts w:hint="eastAsia" w:ascii="国标黑体" w:hAnsi="国标黑体" w:eastAsia="国标黑体" w:cs="国标黑体"/>
          <w:sz w:val="32"/>
          <w:szCs w:val="32"/>
        </w:rPr>
      </w:pPr>
      <w:bookmarkStart w:id="0" w:name="_GoBack"/>
      <w:bookmarkEnd w:id="0"/>
      <w:r>
        <w:rPr>
          <w:rFonts w:hint="eastAsia" w:ascii="国标黑体" w:hAnsi="国标黑体" w:eastAsia="国标黑体" w:cs="国标黑体"/>
          <w:spacing w:val="-12"/>
          <w:sz w:val="32"/>
          <w:szCs w:val="32"/>
        </w:rPr>
        <w:t>附件2</w:t>
      </w:r>
    </w:p>
    <w:p w14:paraId="2C0121D8">
      <w:pPr>
        <w:spacing w:line="250" w:lineRule="auto"/>
        <w:jc w:val="center"/>
        <w:rPr>
          <w:rFonts w:hint="eastAsia" w:ascii="方正小标宋简体" w:hAnsi="方正小标宋简体" w:eastAsia="方正小标宋简体" w:cs="方正小标宋简体"/>
          <w:spacing w:val="-17"/>
          <w:w w:val="97"/>
          <w:sz w:val="44"/>
          <w:szCs w:val="44"/>
        </w:rPr>
      </w:pPr>
      <w:r>
        <w:rPr>
          <w:rFonts w:hint="eastAsia" w:ascii="方正小标宋简体" w:hAnsi="方正小标宋简体" w:eastAsia="方正小标宋简体" w:cs="方正小标宋简体"/>
          <w:spacing w:val="-17"/>
          <w:w w:val="97"/>
          <w:sz w:val="44"/>
          <w:szCs w:val="44"/>
          <w:lang w:eastAsia="zh-CN"/>
        </w:rPr>
        <w:t>济南市卫生健康委员会</w:t>
      </w:r>
      <w:r>
        <w:rPr>
          <w:rFonts w:hint="eastAsia" w:ascii="方正小标宋简体" w:hAnsi="方正小标宋简体" w:eastAsia="方正小标宋简体" w:cs="方正小标宋简体"/>
          <w:spacing w:val="-17"/>
          <w:w w:val="97"/>
          <w:sz w:val="44"/>
          <w:szCs w:val="44"/>
        </w:rPr>
        <w:t>及下属单位综合性涉企收费目录清单</w:t>
      </w:r>
      <w:r>
        <w:rPr>
          <w:rFonts w:hint="eastAsia" w:ascii="方正小标宋简体" w:hAnsi="方正小标宋简体" w:eastAsia="方正小标宋简体" w:cs="方正小标宋简体"/>
          <w:spacing w:val="39"/>
          <w:sz w:val="44"/>
          <w:szCs w:val="44"/>
        </w:rPr>
        <w:t xml:space="preserve"> </w:t>
      </w:r>
    </w:p>
    <w:tbl>
      <w:tblPr>
        <w:tblStyle w:val="3"/>
        <w:tblW w:w="0" w:type="auto"/>
        <w:tblInd w:w="-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53"/>
        <w:gridCol w:w="1551"/>
        <w:gridCol w:w="1534"/>
        <w:gridCol w:w="1636"/>
        <w:gridCol w:w="1227"/>
        <w:gridCol w:w="1418"/>
        <w:gridCol w:w="1412"/>
        <w:gridCol w:w="1166"/>
        <w:gridCol w:w="1186"/>
        <w:gridCol w:w="1392"/>
        <w:gridCol w:w="1289"/>
      </w:tblGrid>
      <w:tr w14:paraId="3688A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3" w:type="dxa"/>
            <w:noWrap w:val="0"/>
            <w:vAlign w:val="center"/>
          </w:tcPr>
          <w:p w14:paraId="1D0BEAA8">
            <w:pPr>
              <w:spacing w:line="250" w:lineRule="auto"/>
              <w:jc w:val="center"/>
              <w:rPr>
                <w:rFonts w:hint="eastAsia" w:ascii="国标黑体" w:hAnsi="国标黑体" w:eastAsia="国标黑体" w:cs="国标黑体"/>
                <w:spacing w:val="-17"/>
                <w:w w:val="97"/>
                <w:sz w:val="30"/>
                <w:szCs w:val="30"/>
                <w:vertAlign w:val="baseline"/>
                <w:lang w:eastAsia="zh-CN"/>
              </w:rPr>
            </w:pPr>
            <w:r>
              <w:rPr>
                <w:rFonts w:hint="eastAsia" w:ascii="国标黑体" w:hAnsi="国标黑体" w:eastAsia="国标黑体" w:cs="国标黑体"/>
                <w:spacing w:val="-17"/>
                <w:w w:val="97"/>
                <w:sz w:val="30"/>
                <w:szCs w:val="30"/>
                <w:vertAlign w:val="baseline"/>
                <w:lang w:eastAsia="zh-CN"/>
              </w:rPr>
              <w:t>序号</w:t>
            </w:r>
          </w:p>
        </w:tc>
        <w:tc>
          <w:tcPr>
            <w:tcW w:w="1551" w:type="dxa"/>
            <w:noWrap w:val="0"/>
            <w:vAlign w:val="center"/>
          </w:tcPr>
          <w:p w14:paraId="68849EAE">
            <w:pPr>
              <w:spacing w:line="250" w:lineRule="auto"/>
              <w:jc w:val="center"/>
              <w:rPr>
                <w:rFonts w:hint="eastAsia" w:ascii="国标黑体" w:hAnsi="国标黑体" w:eastAsia="国标黑体" w:cs="国标黑体"/>
                <w:spacing w:val="-17"/>
                <w:w w:val="97"/>
                <w:sz w:val="30"/>
                <w:szCs w:val="30"/>
                <w:vertAlign w:val="baseline"/>
                <w:lang w:eastAsia="zh-CN"/>
              </w:rPr>
            </w:pPr>
            <w:r>
              <w:rPr>
                <w:rFonts w:hint="eastAsia" w:ascii="国标黑体" w:hAnsi="国标黑体" w:eastAsia="国标黑体" w:cs="国标黑体"/>
                <w:spacing w:val="-17"/>
                <w:w w:val="97"/>
                <w:sz w:val="30"/>
                <w:szCs w:val="30"/>
                <w:vertAlign w:val="baseline"/>
                <w:lang w:eastAsia="zh-CN"/>
              </w:rPr>
              <w:t>部门名称</w:t>
            </w:r>
          </w:p>
        </w:tc>
        <w:tc>
          <w:tcPr>
            <w:tcW w:w="1534" w:type="dxa"/>
            <w:noWrap w:val="0"/>
            <w:vAlign w:val="center"/>
          </w:tcPr>
          <w:p w14:paraId="74D6E13C">
            <w:pPr>
              <w:spacing w:line="250" w:lineRule="auto"/>
              <w:jc w:val="center"/>
              <w:rPr>
                <w:rFonts w:hint="eastAsia" w:ascii="国标黑体" w:hAnsi="国标黑体" w:eastAsia="国标黑体" w:cs="国标黑体"/>
                <w:spacing w:val="-17"/>
                <w:w w:val="97"/>
                <w:sz w:val="30"/>
                <w:szCs w:val="30"/>
                <w:vertAlign w:val="baseline"/>
                <w:lang w:eastAsia="zh-CN"/>
              </w:rPr>
            </w:pPr>
            <w:r>
              <w:rPr>
                <w:rFonts w:hint="eastAsia" w:ascii="国标黑体" w:hAnsi="国标黑体" w:eastAsia="国标黑体" w:cs="国标黑体"/>
                <w:spacing w:val="-17"/>
                <w:w w:val="97"/>
                <w:sz w:val="30"/>
                <w:szCs w:val="30"/>
                <w:vertAlign w:val="baseline"/>
                <w:lang w:eastAsia="zh-CN"/>
              </w:rPr>
              <w:t>收费单位名称</w:t>
            </w:r>
          </w:p>
        </w:tc>
        <w:tc>
          <w:tcPr>
            <w:tcW w:w="1636" w:type="dxa"/>
            <w:noWrap w:val="0"/>
            <w:vAlign w:val="center"/>
          </w:tcPr>
          <w:p w14:paraId="5852335D">
            <w:pPr>
              <w:spacing w:line="250" w:lineRule="auto"/>
              <w:jc w:val="center"/>
              <w:rPr>
                <w:rFonts w:hint="eastAsia" w:ascii="国标黑体" w:hAnsi="国标黑体" w:eastAsia="国标黑体" w:cs="国标黑体"/>
                <w:spacing w:val="-17"/>
                <w:w w:val="97"/>
                <w:sz w:val="30"/>
                <w:szCs w:val="30"/>
                <w:vertAlign w:val="baseline"/>
                <w:lang w:eastAsia="zh-CN"/>
              </w:rPr>
            </w:pPr>
            <w:r>
              <w:rPr>
                <w:rFonts w:hint="eastAsia" w:ascii="国标黑体" w:hAnsi="国标黑体" w:eastAsia="国标黑体" w:cs="国标黑体"/>
                <w:spacing w:val="-17"/>
                <w:w w:val="97"/>
                <w:sz w:val="30"/>
                <w:szCs w:val="30"/>
                <w:vertAlign w:val="baseline"/>
                <w:lang w:eastAsia="zh-CN"/>
              </w:rPr>
              <w:t>单位性质</w:t>
            </w:r>
          </w:p>
        </w:tc>
        <w:tc>
          <w:tcPr>
            <w:tcW w:w="1227" w:type="dxa"/>
            <w:noWrap w:val="0"/>
            <w:vAlign w:val="center"/>
          </w:tcPr>
          <w:p w14:paraId="0DB1D4EB">
            <w:pPr>
              <w:spacing w:line="250" w:lineRule="auto"/>
              <w:jc w:val="center"/>
              <w:rPr>
                <w:rFonts w:hint="eastAsia" w:ascii="国标黑体" w:hAnsi="国标黑体" w:eastAsia="国标黑体" w:cs="国标黑体"/>
                <w:spacing w:val="-17"/>
                <w:w w:val="97"/>
                <w:sz w:val="30"/>
                <w:szCs w:val="30"/>
                <w:vertAlign w:val="baseline"/>
                <w:lang w:eastAsia="zh-CN"/>
              </w:rPr>
            </w:pPr>
            <w:r>
              <w:rPr>
                <w:rFonts w:hint="eastAsia" w:ascii="国标黑体" w:hAnsi="国标黑体" w:eastAsia="国标黑体" w:cs="国标黑体"/>
                <w:spacing w:val="-17"/>
                <w:w w:val="97"/>
                <w:sz w:val="30"/>
                <w:szCs w:val="30"/>
                <w:vertAlign w:val="baseline"/>
                <w:lang w:eastAsia="zh-CN"/>
              </w:rPr>
              <w:t>收费项目</w:t>
            </w:r>
          </w:p>
        </w:tc>
        <w:tc>
          <w:tcPr>
            <w:tcW w:w="1418" w:type="dxa"/>
            <w:noWrap w:val="0"/>
            <w:vAlign w:val="center"/>
          </w:tcPr>
          <w:p w14:paraId="5725969E">
            <w:pPr>
              <w:spacing w:line="250" w:lineRule="auto"/>
              <w:jc w:val="center"/>
              <w:rPr>
                <w:rFonts w:hint="eastAsia" w:ascii="国标黑体" w:hAnsi="国标黑体" w:eastAsia="国标黑体" w:cs="国标黑体"/>
                <w:spacing w:val="-17"/>
                <w:w w:val="97"/>
                <w:sz w:val="30"/>
                <w:szCs w:val="30"/>
                <w:vertAlign w:val="baseline"/>
                <w:lang w:eastAsia="zh-CN"/>
              </w:rPr>
            </w:pPr>
            <w:r>
              <w:rPr>
                <w:rFonts w:hint="eastAsia" w:ascii="国标黑体" w:hAnsi="国标黑体" w:eastAsia="国标黑体" w:cs="国标黑体"/>
                <w:spacing w:val="-17"/>
                <w:w w:val="97"/>
                <w:sz w:val="30"/>
                <w:szCs w:val="30"/>
                <w:vertAlign w:val="baseline"/>
                <w:lang w:eastAsia="zh-CN"/>
              </w:rPr>
              <w:t>收费性质</w:t>
            </w:r>
          </w:p>
        </w:tc>
        <w:tc>
          <w:tcPr>
            <w:tcW w:w="1412" w:type="dxa"/>
            <w:noWrap w:val="0"/>
            <w:vAlign w:val="center"/>
          </w:tcPr>
          <w:p w14:paraId="7157BD25">
            <w:pPr>
              <w:spacing w:line="250" w:lineRule="auto"/>
              <w:jc w:val="center"/>
              <w:rPr>
                <w:rFonts w:hint="eastAsia" w:ascii="国标黑体" w:hAnsi="国标黑体" w:eastAsia="国标黑体" w:cs="国标黑体"/>
                <w:spacing w:val="-17"/>
                <w:w w:val="97"/>
                <w:sz w:val="30"/>
                <w:szCs w:val="30"/>
                <w:vertAlign w:val="baseline"/>
                <w:lang w:eastAsia="zh-CN"/>
              </w:rPr>
            </w:pPr>
            <w:r>
              <w:rPr>
                <w:rFonts w:hint="eastAsia" w:ascii="国标黑体" w:hAnsi="国标黑体" w:eastAsia="国标黑体" w:cs="国标黑体"/>
                <w:spacing w:val="-17"/>
                <w:w w:val="97"/>
                <w:sz w:val="30"/>
                <w:szCs w:val="30"/>
                <w:vertAlign w:val="baseline"/>
                <w:lang w:eastAsia="zh-CN"/>
              </w:rPr>
              <w:t>服务内容或涉及事项</w:t>
            </w:r>
          </w:p>
        </w:tc>
        <w:tc>
          <w:tcPr>
            <w:tcW w:w="1166" w:type="dxa"/>
            <w:noWrap w:val="0"/>
            <w:vAlign w:val="center"/>
          </w:tcPr>
          <w:p w14:paraId="7E6AC4FA">
            <w:pPr>
              <w:spacing w:line="250" w:lineRule="auto"/>
              <w:jc w:val="center"/>
              <w:rPr>
                <w:rFonts w:hint="eastAsia" w:ascii="国标黑体" w:hAnsi="国标黑体" w:eastAsia="国标黑体" w:cs="国标黑体"/>
                <w:spacing w:val="-17"/>
                <w:w w:val="97"/>
                <w:sz w:val="30"/>
                <w:szCs w:val="30"/>
                <w:vertAlign w:val="baseline"/>
                <w:lang w:eastAsia="zh-CN"/>
              </w:rPr>
            </w:pPr>
            <w:r>
              <w:rPr>
                <w:rFonts w:hint="eastAsia" w:ascii="国标黑体" w:hAnsi="国标黑体" w:eastAsia="国标黑体" w:cs="国标黑体"/>
                <w:spacing w:val="-17"/>
                <w:w w:val="97"/>
                <w:sz w:val="30"/>
                <w:szCs w:val="30"/>
                <w:vertAlign w:val="baseline"/>
                <w:lang w:eastAsia="zh-CN"/>
              </w:rPr>
              <w:t>收费标准</w:t>
            </w:r>
          </w:p>
        </w:tc>
        <w:tc>
          <w:tcPr>
            <w:tcW w:w="1186" w:type="dxa"/>
            <w:noWrap w:val="0"/>
            <w:vAlign w:val="center"/>
          </w:tcPr>
          <w:p w14:paraId="67FA8A17">
            <w:pPr>
              <w:spacing w:line="250" w:lineRule="auto"/>
              <w:jc w:val="center"/>
              <w:rPr>
                <w:rFonts w:hint="eastAsia" w:ascii="国标黑体" w:hAnsi="国标黑体" w:eastAsia="国标黑体" w:cs="国标黑体"/>
                <w:spacing w:val="-17"/>
                <w:w w:val="97"/>
                <w:sz w:val="30"/>
                <w:szCs w:val="30"/>
                <w:vertAlign w:val="baseline"/>
                <w:lang w:eastAsia="zh-CN"/>
              </w:rPr>
            </w:pPr>
            <w:r>
              <w:rPr>
                <w:rFonts w:hint="eastAsia" w:ascii="国标黑体" w:hAnsi="国标黑体" w:eastAsia="国标黑体" w:cs="国标黑体"/>
                <w:spacing w:val="-17"/>
                <w:w w:val="97"/>
                <w:sz w:val="30"/>
                <w:szCs w:val="30"/>
                <w:vertAlign w:val="baseline"/>
                <w:lang w:eastAsia="zh-CN"/>
              </w:rPr>
              <w:t>标准制定方式及部门</w:t>
            </w:r>
          </w:p>
        </w:tc>
        <w:tc>
          <w:tcPr>
            <w:tcW w:w="1392" w:type="dxa"/>
            <w:noWrap w:val="0"/>
            <w:vAlign w:val="center"/>
          </w:tcPr>
          <w:p w14:paraId="3D0ADA32">
            <w:pPr>
              <w:spacing w:line="250" w:lineRule="auto"/>
              <w:jc w:val="center"/>
              <w:rPr>
                <w:rFonts w:hint="eastAsia" w:ascii="国标黑体" w:hAnsi="国标黑体" w:eastAsia="国标黑体" w:cs="国标黑体"/>
                <w:spacing w:val="-17"/>
                <w:w w:val="97"/>
                <w:sz w:val="30"/>
                <w:szCs w:val="30"/>
                <w:vertAlign w:val="baseline"/>
                <w:lang w:eastAsia="zh-CN"/>
              </w:rPr>
            </w:pPr>
            <w:r>
              <w:rPr>
                <w:rFonts w:hint="eastAsia" w:ascii="国标黑体" w:hAnsi="国标黑体" w:eastAsia="国标黑体" w:cs="国标黑体"/>
                <w:spacing w:val="-17"/>
                <w:w w:val="97"/>
                <w:sz w:val="30"/>
                <w:szCs w:val="30"/>
                <w:vertAlign w:val="baseline"/>
                <w:lang w:eastAsia="zh-CN"/>
              </w:rPr>
              <w:t>政策依据</w:t>
            </w:r>
          </w:p>
        </w:tc>
        <w:tc>
          <w:tcPr>
            <w:tcW w:w="1289" w:type="dxa"/>
            <w:noWrap w:val="0"/>
            <w:vAlign w:val="center"/>
          </w:tcPr>
          <w:p w14:paraId="6E2606BD">
            <w:pPr>
              <w:spacing w:line="250" w:lineRule="auto"/>
              <w:jc w:val="center"/>
              <w:rPr>
                <w:rFonts w:hint="eastAsia" w:ascii="国标黑体" w:hAnsi="国标黑体" w:eastAsia="国标黑体" w:cs="国标黑体"/>
                <w:spacing w:val="-17"/>
                <w:w w:val="97"/>
                <w:sz w:val="30"/>
                <w:szCs w:val="30"/>
                <w:vertAlign w:val="baseline"/>
                <w:lang w:eastAsia="zh-CN"/>
              </w:rPr>
            </w:pPr>
            <w:r>
              <w:rPr>
                <w:rFonts w:hint="eastAsia" w:ascii="国标黑体" w:hAnsi="国标黑体" w:eastAsia="国标黑体" w:cs="国标黑体"/>
                <w:spacing w:val="-17"/>
                <w:w w:val="97"/>
                <w:sz w:val="30"/>
                <w:szCs w:val="30"/>
                <w:vertAlign w:val="baseline"/>
                <w:lang w:eastAsia="zh-CN"/>
              </w:rPr>
              <w:t>备注</w:t>
            </w:r>
          </w:p>
        </w:tc>
      </w:tr>
      <w:tr w14:paraId="5219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333" w:hRule="exact"/>
        </w:trPr>
        <w:tc>
          <w:tcPr>
            <w:tcW w:w="853" w:type="dxa"/>
            <w:noWrap w:val="0"/>
            <w:vAlign w:val="center"/>
          </w:tcPr>
          <w:p w14:paraId="02B146E8">
            <w:pPr>
              <w:spacing w:line="250" w:lineRule="auto"/>
              <w:jc w:val="center"/>
              <w:rPr>
                <w:rFonts w:hint="default" w:ascii="仿宋_GB2312" w:hAnsi="仿宋_GB2312" w:eastAsia="仿宋_GB2312" w:cs="仿宋_GB2312"/>
                <w:spacing w:val="-17"/>
                <w:w w:val="97"/>
                <w:sz w:val="28"/>
                <w:szCs w:val="28"/>
                <w:vertAlign w:val="baseline"/>
                <w:lang w:val="en-US" w:eastAsia="zh-CN"/>
              </w:rPr>
            </w:pPr>
            <w:r>
              <w:rPr>
                <w:rFonts w:hint="eastAsia" w:ascii="仿宋_GB2312" w:hAnsi="仿宋_GB2312" w:eastAsia="仿宋_GB2312" w:cs="仿宋_GB2312"/>
                <w:spacing w:val="-17"/>
                <w:w w:val="97"/>
                <w:sz w:val="28"/>
                <w:szCs w:val="28"/>
                <w:vertAlign w:val="baseline"/>
                <w:lang w:val="en-US" w:eastAsia="zh-CN"/>
              </w:rPr>
              <w:t>1</w:t>
            </w:r>
          </w:p>
        </w:tc>
        <w:tc>
          <w:tcPr>
            <w:tcW w:w="1551" w:type="dxa"/>
            <w:noWrap w:val="0"/>
            <w:vAlign w:val="center"/>
          </w:tcPr>
          <w:p w14:paraId="2DB7B0F1">
            <w:pPr>
              <w:spacing w:line="250" w:lineRule="auto"/>
              <w:jc w:val="center"/>
              <w:rPr>
                <w:rFonts w:hint="default" w:ascii="仿宋_GB2312" w:hAnsi="仿宋_GB2312" w:eastAsia="仿宋_GB2312" w:cs="仿宋_GB2312"/>
                <w:spacing w:val="-17"/>
                <w:w w:val="97"/>
                <w:sz w:val="22"/>
                <w:szCs w:val="22"/>
                <w:vertAlign w:val="baseline"/>
                <w:lang w:val="en-US" w:eastAsia="zh-CN"/>
              </w:rPr>
            </w:pPr>
            <w:r>
              <w:rPr>
                <w:rFonts w:hint="eastAsia" w:ascii="仿宋_GB2312" w:hAnsi="仿宋_GB2312" w:eastAsia="仿宋_GB2312" w:cs="仿宋_GB2312"/>
                <w:spacing w:val="-17"/>
                <w:w w:val="97"/>
                <w:sz w:val="22"/>
                <w:szCs w:val="22"/>
                <w:vertAlign w:val="baseline"/>
                <w:lang w:val="en-US" w:eastAsia="zh-CN"/>
              </w:rPr>
              <w:t>济南市卫生健康委员会</w:t>
            </w:r>
          </w:p>
        </w:tc>
        <w:tc>
          <w:tcPr>
            <w:tcW w:w="1534" w:type="dxa"/>
            <w:noWrap w:val="0"/>
            <w:vAlign w:val="center"/>
          </w:tcPr>
          <w:p w14:paraId="1EDFAE41">
            <w:pPr>
              <w:spacing w:line="250" w:lineRule="auto"/>
              <w:jc w:val="center"/>
              <w:rPr>
                <w:rFonts w:hint="default" w:ascii="仿宋_GB2312" w:hAnsi="仿宋_GB2312" w:eastAsia="仿宋_GB2312" w:cs="仿宋_GB2312"/>
                <w:spacing w:val="-17"/>
                <w:w w:val="97"/>
                <w:sz w:val="22"/>
                <w:szCs w:val="22"/>
                <w:vertAlign w:val="baseline"/>
                <w:lang w:val="en-US" w:eastAsia="zh-CN"/>
              </w:rPr>
            </w:pPr>
            <w:r>
              <w:rPr>
                <w:rFonts w:hint="eastAsia" w:ascii="仿宋_GB2312" w:hAnsi="仿宋_GB2312" w:eastAsia="仿宋_GB2312" w:cs="仿宋_GB2312"/>
                <w:spacing w:val="-17"/>
                <w:w w:val="97"/>
                <w:sz w:val="22"/>
                <w:szCs w:val="22"/>
                <w:vertAlign w:val="baseline"/>
                <w:lang w:val="en-US" w:eastAsia="zh-CN"/>
              </w:rPr>
              <w:t>济南市疾病预防控制中心</w:t>
            </w:r>
          </w:p>
        </w:tc>
        <w:tc>
          <w:tcPr>
            <w:tcW w:w="1636" w:type="dxa"/>
            <w:noWrap w:val="0"/>
            <w:vAlign w:val="center"/>
          </w:tcPr>
          <w:p w14:paraId="61B190E9">
            <w:pPr>
              <w:spacing w:line="250" w:lineRule="auto"/>
              <w:jc w:val="center"/>
              <w:rPr>
                <w:rFonts w:hint="default" w:ascii="仿宋_GB2312" w:hAnsi="仿宋_GB2312" w:eastAsia="仿宋_GB2312" w:cs="仿宋_GB2312"/>
                <w:spacing w:val="-17"/>
                <w:w w:val="97"/>
                <w:sz w:val="22"/>
                <w:szCs w:val="22"/>
                <w:vertAlign w:val="baseline"/>
                <w:lang w:val="en-US" w:eastAsia="zh-CN"/>
              </w:rPr>
            </w:pPr>
            <w:r>
              <w:rPr>
                <w:rFonts w:hint="eastAsia" w:ascii="仿宋_GB2312" w:hAnsi="仿宋_GB2312" w:eastAsia="仿宋_GB2312" w:cs="仿宋_GB2312"/>
                <w:spacing w:val="-17"/>
                <w:w w:val="97"/>
                <w:sz w:val="22"/>
                <w:szCs w:val="22"/>
                <w:vertAlign w:val="baseline"/>
                <w:lang w:val="en-US" w:eastAsia="zh-CN"/>
              </w:rPr>
              <w:t>公益一类事业单位</w:t>
            </w:r>
          </w:p>
        </w:tc>
        <w:tc>
          <w:tcPr>
            <w:tcW w:w="1227" w:type="dxa"/>
            <w:noWrap w:val="0"/>
            <w:vAlign w:val="center"/>
          </w:tcPr>
          <w:p w14:paraId="4889A75D">
            <w:pPr>
              <w:spacing w:line="250" w:lineRule="auto"/>
              <w:jc w:val="center"/>
              <w:rPr>
                <w:rFonts w:hint="default" w:ascii="仿宋_GB2312" w:hAnsi="仿宋_GB2312" w:eastAsia="仿宋_GB2312" w:cs="仿宋_GB2312"/>
                <w:spacing w:val="-17"/>
                <w:w w:val="97"/>
                <w:sz w:val="22"/>
                <w:szCs w:val="22"/>
                <w:vertAlign w:val="baseline"/>
                <w:lang w:val="en-US" w:eastAsia="zh-CN"/>
              </w:rPr>
            </w:pPr>
            <w:r>
              <w:rPr>
                <w:rFonts w:hint="eastAsia" w:ascii="仿宋_GB2312" w:hAnsi="仿宋_GB2312" w:eastAsia="仿宋_GB2312" w:cs="仿宋_GB2312"/>
                <w:spacing w:val="-17"/>
                <w:w w:val="97"/>
                <w:sz w:val="22"/>
                <w:szCs w:val="22"/>
                <w:vertAlign w:val="baseline"/>
                <w:lang w:val="en-US" w:eastAsia="zh-CN"/>
              </w:rPr>
              <w:t>职业病诊断鉴定</w:t>
            </w:r>
          </w:p>
        </w:tc>
        <w:tc>
          <w:tcPr>
            <w:tcW w:w="1418" w:type="dxa"/>
            <w:noWrap w:val="0"/>
            <w:vAlign w:val="center"/>
          </w:tcPr>
          <w:p w14:paraId="11A45B2D">
            <w:pPr>
              <w:spacing w:line="250" w:lineRule="auto"/>
              <w:jc w:val="center"/>
              <w:rPr>
                <w:rFonts w:hint="default" w:ascii="仿宋_GB2312" w:hAnsi="仿宋_GB2312" w:eastAsia="仿宋_GB2312" w:cs="仿宋_GB2312"/>
                <w:spacing w:val="-17"/>
                <w:w w:val="97"/>
                <w:sz w:val="22"/>
                <w:szCs w:val="22"/>
                <w:vertAlign w:val="baseline"/>
                <w:lang w:val="en-US" w:eastAsia="zh-CN"/>
              </w:rPr>
            </w:pPr>
            <w:r>
              <w:rPr>
                <w:rFonts w:hint="eastAsia" w:ascii="仿宋_GB2312" w:hAnsi="仿宋_GB2312" w:eastAsia="仿宋_GB2312" w:cs="仿宋_GB2312"/>
                <w:spacing w:val="-17"/>
                <w:w w:val="97"/>
                <w:sz w:val="22"/>
                <w:szCs w:val="22"/>
                <w:vertAlign w:val="baseline"/>
                <w:lang w:val="en-US" w:eastAsia="zh-CN"/>
              </w:rPr>
              <w:t>行政事业收费</w:t>
            </w:r>
          </w:p>
        </w:tc>
        <w:tc>
          <w:tcPr>
            <w:tcW w:w="1412" w:type="dxa"/>
            <w:noWrap w:val="0"/>
            <w:vAlign w:val="center"/>
          </w:tcPr>
          <w:p w14:paraId="2B544602">
            <w:pPr>
              <w:spacing w:line="250" w:lineRule="auto"/>
              <w:jc w:val="center"/>
              <w:rPr>
                <w:rFonts w:hint="eastAsia" w:ascii="仿宋_GB2312" w:hAnsi="仿宋_GB2312" w:eastAsia="仿宋_GB2312" w:cs="仿宋_GB2312"/>
                <w:spacing w:val="-17"/>
                <w:w w:val="97"/>
                <w:sz w:val="22"/>
                <w:szCs w:val="22"/>
                <w:vertAlign w:val="baseline"/>
                <w:lang w:val="en-US" w:eastAsia="zh-CN"/>
              </w:rPr>
            </w:pPr>
            <w:r>
              <w:rPr>
                <w:rFonts w:hint="eastAsia" w:ascii="仿宋_GB2312" w:hAnsi="仿宋_GB2312" w:eastAsia="仿宋_GB2312" w:cs="仿宋_GB2312"/>
                <w:spacing w:val="-17"/>
                <w:w w:val="97"/>
                <w:sz w:val="22"/>
                <w:szCs w:val="22"/>
                <w:vertAlign w:val="baseline"/>
              </w:rPr>
              <w:t>对职业病诊断争议(当事人对职业病诊断过程、结论等存在争议)进行技术鉴定时可向申请鉴定的当事人所在单位收取职业病诊断鉴定费</w:t>
            </w:r>
            <w:r>
              <w:rPr>
                <w:rFonts w:hint="eastAsia" w:ascii="仿宋_GB2312" w:hAnsi="仿宋_GB2312" w:eastAsia="仿宋_GB2312" w:cs="仿宋_GB2312"/>
                <w:spacing w:val="-17"/>
                <w:w w:val="97"/>
                <w:sz w:val="22"/>
                <w:szCs w:val="22"/>
                <w:vertAlign w:val="baseline"/>
                <w:lang w:eastAsia="zh-CN"/>
              </w:rPr>
              <w:t>。</w:t>
            </w:r>
          </w:p>
        </w:tc>
        <w:tc>
          <w:tcPr>
            <w:tcW w:w="1166" w:type="dxa"/>
            <w:noWrap w:val="0"/>
            <w:vAlign w:val="center"/>
          </w:tcPr>
          <w:p w14:paraId="2B0E7E7D">
            <w:pPr>
              <w:spacing w:line="250" w:lineRule="auto"/>
              <w:jc w:val="center"/>
              <w:rPr>
                <w:rFonts w:hint="default" w:ascii="仿宋_GB2312" w:hAnsi="仿宋_GB2312" w:eastAsia="仿宋_GB2312" w:cs="仿宋_GB2312"/>
                <w:spacing w:val="-17"/>
                <w:w w:val="97"/>
                <w:sz w:val="22"/>
                <w:szCs w:val="22"/>
                <w:vertAlign w:val="baseline"/>
                <w:lang w:val="en-US" w:eastAsia="zh-CN"/>
              </w:rPr>
            </w:pPr>
            <w:r>
              <w:rPr>
                <w:rFonts w:hint="eastAsia" w:ascii="仿宋_GB2312" w:hAnsi="仿宋_GB2312" w:eastAsia="仿宋_GB2312" w:cs="仿宋_GB2312"/>
                <w:spacing w:val="-17"/>
                <w:w w:val="97"/>
                <w:sz w:val="22"/>
                <w:szCs w:val="22"/>
                <w:vertAlign w:val="baseline"/>
                <w:lang w:val="en-US" w:eastAsia="zh-CN"/>
              </w:rPr>
              <w:t>4500元/病例</w:t>
            </w:r>
          </w:p>
        </w:tc>
        <w:tc>
          <w:tcPr>
            <w:tcW w:w="1186" w:type="dxa"/>
            <w:noWrap w:val="0"/>
            <w:vAlign w:val="center"/>
          </w:tcPr>
          <w:p w14:paraId="58EB28F5">
            <w:pPr>
              <w:spacing w:line="250" w:lineRule="auto"/>
              <w:jc w:val="center"/>
              <w:rPr>
                <w:rFonts w:hint="eastAsia" w:ascii="仿宋_GB2312" w:hAnsi="仿宋_GB2312" w:eastAsia="仿宋_GB2312" w:cs="仿宋_GB2312"/>
                <w:spacing w:val="-17"/>
                <w:w w:val="97"/>
                <w:sz w:val="22"/>
                <w:szCs w:val="22"/>
                <w:vertAlign w:val="baseline"/>
              </w:rPr>
            </w:pPr>
            <w:r>
              <w:rPr>
                <w:rFonts w:hint="eastAsia" w:ascii="仿宋_GB2312" w:hAnsi="仿宋_GB2312" w:eastAsia="仿宋_GB2312" w:cs="仿宋_GB2312"/>
                <w:spacing w:val="-17"/>
                <w:w w:val="97"/>
                <w:sz w:val="22"/>
                <w:szCs w:val="22"/>
                <w:vertAlign w:val="baseline"/>
              </w:rPr>
              <w:t>山东省发展和改革委员会山东省财政厅</w:t>
            </w:r>
          </w:p>
        </w:tc>
        <w:tc>
          <w:tcPr>
            <w:tcW w:w="1392" w:type="dxa"/>
            <w:noWrap w:val="0"/>
            <w:vAlign w:val="center"/>
          </w:tcPr>
          <w:p w14:paraId="3B70AC3C">
            <w:pPr>
              <w:spacing w:line="250" w:lineRule="auto"/>
              <w:jc w:val="center"/>
              <w:rPr>
                <w:rFonts w:hint="eastAsia" w:ascii="仿宋_GB2312" w:hAnsi="仿宋_GB2312" w:eastAsia="仿宋_GB2312" w:cs="仿宋_GB2312"/>
                <w:spacing w:val="-17"/>
                <w:w w:val="97"/>
                <w:sz w:val="22"/>
                <w:szCs w:val="22"/>
                <w:vertAlign w:val="baseline"/>
                <w:lang w:eastAsia="zh-CN"/>
              </w:rPr>
            </w:pPr>
            <w:r>
              <w:rPr>
                <w:rFonts w:hint="eastAsia" w:ascii="仿宋_GB2312" w:hAnsi="仿宋_GB2312" w:eastAsia="仿宋_GB2312" w:cs="仿宋_GB2312"/>
                <w:spacing w:val="-17"/>
                <w:w w:val="97"/>
                <w:sz w:val="22"/>
                <w:szCs w:val="22"/>
                <w:vertAlign w:val="baseline"/>
              </w:rPr>
              <w:t>山东省发展和改革委员会山东省财政厅关于职业病诊断鉴定收费标准的批复</w:t>
            </w:r>
            <w:r>
              <w:rPr>
                <w:rFonts w:hint="eastAsia" w:ascii="仿宋_GB2312" w:hAnsi="仿宋_GB2312" w:eastAsia="仿宋_GB2312" w:cs="仿宋_GB2312"/>
                <w:spacing w:val="-17"/>
                <w:w w:val="97"/>
                <w:sz w:val="22"/>
                <w:szCs w:val="22"/>
                <w:vertAlign w:val="baseline"/>
                <w:lang w:eastAsia="zh-CN"/>
              </w:rPr>
              <w:t>（鲁发改价格〔2024</w:t>
            </w:r>
            <w:r>
              <w:rPr>
                <w:rFonts w:hint="eastAsia" w:ascii="仿宋_GB2312" w:hAnsi="仿宋_GB2312" w:eastAsia="仿宋_GB2312" w:cs="仿宋_GB2312"/>
                <w:spacing w:val="-17"/>
                <w:w w:val="97"/>
                <w:sz w:val="22"/>
                <w:szCs w:val="22"/>
                <w:vertAlign w:val="baseline"/>
                <w:lang w:val="en-US" w:eastAsia="zh-CN"/>
              </w:rPr>
              <w:t>]</w:t>
            </w:r>
            <w:r>
              <w:rPr>
                <w:rFonts w:hint="eastAsia" w:ascii="仿宋_GB2312" w:hAnsi="仿宋_GB2312" w:eastAsia="仿宋_GB2312" w:cs="仿宋_GB2312"/>
                <w:spacing w:val="-17"/>
                <w:w w:val="97"/>
                <w:sz w:val="22"/>
                <w:szCs w:val="22"/>
                <w:vertAlign w:val="baseline"/>
                <w:lang w:eastAsia="zh-CN"/>
              </w:rPr>
              <w:t>939号）</w:t>
            </w:r>
          </w:p>
        </w:tc>
        <w:tc>
          <w:tcPr>
            <w:tcW w:w="1289" w:type="dxa"/>
            <w:noWrap w:val="0"/>
            <w:vAlign w:val="center"/>
          </w:tcPr>
          <w:p w14:paraId="422B3AB0">
            <w:pPr>
              <w:spacing w:line="250" w:lineRule="auto"/>
              <w:jc w:val="center"/>
              <w:rPr>
                <w:rFonts w:hint="eastAsia" w:ascii="仿宋_GB2312" w:hAnsi="仿宋_GB2312" w:eastAsia="仿宋_GB2312" w:cs="仿宋_GB2312"/>
                <w:spacing w:val="-17"/>
                <w:w w:val="97"/>
                <w:sz w:val="22"/>
                <w:szCs w:val="22"/>
                <w:vertAlign w:val="baseline"/>
              </w:rPr>
            </w:pPr>
          </w:p>
        </w:tc>
      </w:tr>
      <w:tr w14:paraId="6BB5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271" w:hRule="exact"/>
        </w:trPr>
        <w:tc>
          <w:tcPr>
            <w:tcW w:w="853" w:type="dxa"/>
            <w:noWrap w:val="0"/>
            <w:vAlign w:val="center"/>
          </w:tcPr>
          <w:p w14:paraId="0306F461">
            <w:pPr>
              <w:spacing w:line="250" w:lineRule="auto"/>
              <w:jc w:val="center"/>
              <w:rPr>
                <w:rFonts w:hint="eastAsia" w:ascii="仿宋_GB2312" w:hAnsi="仿宋_GB2312" w:eastAsia="仿宋_GB2312" w:cs="仿宋_GB2312"/>
                <w:spacing w:val="-17"/>
                <w:w w:val="97"/>
                <w:sz w:val="28"/>
                <w:szCs w:val="28"/>
                <w:vertAlign w:val="baseline"/>
                <w:lang w:val="en-US" w:eastAsia="zh-CN"/>
              </w:rPr>
            </w:pPr>
            <w:r>
              <w:rPr>
                <w:rFonts w:hint="eastAsia" w:ascii="仿宋_GB2312" w:hAnsi="仿宋_GB2312" w:eastAsia="仿宋_GB2312" w:cs="仿宋_GB2312"/>
                <w:spacing w:val="-17"/>
                <w:w w:val="97"/>
                <w:sz w:val="28"/>
                <w:szCs w:val="28"/>
                <w:vertAlign w:val="baseline"/>
                <w:lang w:val="en-US" w:eastAsia="zh-CN"/>
              </w:rPr>
              <w:t>2</w:t>
            </w:r>
          </w:p>
        </w:tc>
        <w:tc>
          <w:tcPr>
            <w:tcW w:w="1551" w:type="dxa"/>
            <w:noWrap w:val="0"/>
            <w:vAlign w:val="center"/>
          </w:tcPr>
          <w:p w14:paraId="6CF9492E">
            <w:pPr>
              <w:spacing w:line="250" w:lineRule="auto"/>
              <w:jc w:val="center"/>
              <w:rPr>
                <w:rFonts w:hint="default" w:ascii="仿宋_GB2312" w:hAnsi="仿宋_GB2312" w:eastAsia="仿宋_GB2312" w:cs="仿宋_GB2312"/>
                <w:spacing w:val="-17"/>
                <w:w w:val="97"/>
                <w:sz w:val="22"/>
                <w:szCs w:val="22"/>
                <w:vertAlign w:val="baseline"/>
                <w:lang w:val="en-US" w:eastAsia="zh-CN"/>
              </w:rPr>
            </w:pPr>
            <w:r>
              <w:rPr>
                <w:rFonts w:hint="eastAsia" w:ascii="仿宋_GB2312" w:hAnsi="仿宋_GB2312" w:eastAsia="仿宋_GB2312" w:cs="仿宋_GB2312"/>
                <w:spacing w:val="-17"/>
                <w:w w:val="97"/>
                <w:sz w:val="22"/>
                <w:szCs w:val="22"/>
                <w:vertAlign w:val="baseline"/>
                <w:lang w:val="en-US" w:eastAsia="zh-CN"/>
              </w:rPr>
              <w:t>济南市卫生健康委员会</w:t>
            </w:r>
          </w:p>
        </w:tc>
        <w:tc>
          <w:tcPr>
            <w:tcW w:w="1534" w:type="dxa"/>
            <w:noWrap w:val="0"/>
            <w:vAlign w:val="center"/>
          </w:tcPr>
          <w:p w14:paraId="3A8AA325">
            <w:pPr>
              <w:spacing w:line="250" w:lineRule="auto"/>
              <w:jc w:val="center"/>
              <w:rPr>
                <w:rFonts w:hint="eastAsia" w:ascii="仿宋_GB2312" w:hAnsi="仿宋_GB2312" w:eastAsia="仿宋_GB2312" w:cs="仿宋_GB2312"/>
                <w:spacing w:val="-17"/>
                <w:w w:val="97"/>
                <w:sz w:val="22"/>
                <w:szCs w:val="22"/>
                <w:vertAlign w:val="baseline"/>
              </w:rPr>
            </w:pPr>
            <w:r>
              <w:rPr>
                <w:rFonts w:hint="eastAsia" w:ascii="仿宋_GB2312" w:hAnsi="仿宋_GB2312" w:eastAsia="仿宋_GB2312" w:cs="仿宋_GB2312"/>
                <w:spacing w:val="-17"/>
                <w:w w:val="97"/>
                <w:sz w:val="22"/>
                <w:szCs w:val="22"/>
                <w:vertAlign w:val="baseline"/>
                <w:lang w:val="en-US" w:eastAsia="zh-CN"/>
              </w:rPr>
              <w:t>济南市疾病预防控制中心</w:t>
            </w:r>
          </w:p>
        </w:tc>
        <w:tc>
          <w:tcPr>
            <w:tcW w:w="1636" w:type="dxa"/>
            <w:noWrap w:val="0"/>
            <w:vAlign w:val="center"/>
          </w:tcPr>
          <w:p w14:paraId="7A47368C">
            <w:pPr>
              <w:spacing w:line="250" w:lineRule="auto"/>
              <w:jc w:val="center"/>
              <w:rPr>
                <w:rFonts w:hint="eastAsia" w:ascii="仿宋_GB2312" w:hAnsi="仿宋_GB2312" w:eastAsia="仿宋_GB2312" w:cs="仿宋_GB2312"/>
                <w:spacing w:val="-17"/>
                <w:w w:val="97"/>
                <w:sz w:val="22"/>
                <w:szCs w:val="22"/>
                <w:vertAlign w:val="baseline"/>
              </w:rPr>
            </w:pPr>
            <w:r>
              <w:rPr>
                <w:rFonts w:hint="eastAsia" w:ascii="仿宋_GB2312" w:hAnsi="仿宋_GB2312" w:eastAsia="仿宋_GB2312" w:cs="仿宋_GB2312"/>
                <w:spacing w:val="-17"/>
                <w:w w:val="97"/>
                <w:sz w:val="22"/>
                <w:szCs w:val="22"/>
                <w:vertAlign w:val="baseline"/>
                <w:lang w:val="en-US" w:eastAsia="zh-CN"/>
              </w:rPr>
              <w:t>公益一类事业单位</w:t>
            </w:r>
          </w:p>
        </w:tc>
        <w:tc>
          <w:tcPr>
            <w:tcW w:w="1227" w:type="dxa"/>
            <w:noWrap w:val="0"/>
            <w:vAlign w:val="center"/>
          </w:tcPr>
          <w:p w14:paraId="456E3F77">
            <w:pPr>
              <w:spacing w:line="250" w:lineRule="auto"/>
              <w:jc w:val="center"/>
              <w:rPr>
                <w:rFonts w:hint="default" w:ascii="仿宋_GB2312" w:hAnsi="仿宋_GB2312" w:eastAsia="仿宋_GB2312" w:cs="仿宋_GB2312"/>
                <w:spacing w:val="-17"/>
                <w:w w:val="97"/>
                <w:sz w:val="22"/>
                <w:szCs w:val="22"/>
                <w:vertAlign w:val="baseline"/>
                <w:lang w:val="en-US" w:eastAsia="zh-CN"/>
              </w:rPr>
            </w:pPr>
            <w:r>
              <w:rPr>
                <w:rFonts w:hint="eastAsia" w:ascii="仿宋_GB2312" w:hAnsi="仿宋_GB2312" w:eastAsia="仿宋_GB2312" w:cs="仿宋_GB2312"/>
                <w:spacing w:val="-17"/>
                <w:w w:val="97"/>
                <w:sz w:val="22"/>
                <w:szCs w:val="22"/>
                <w:vertAlign w:val="baseline"/>
                <w:lang w:val="en-US" w:eastAsia="zh-CN"/>
              </w:rPr>
              <w:t>对外服务收入（涉及食品类523项、环境类291项、病原类76项、职业类255项、放射类79项、消毒类138项、病媒类29项、查体类41项、其他及补充35项。）</w:t>
            </w:r>
          </w:p>
        </w:tc>
        <w:tc>
          <w:tcPr>
            <w:tcW w:w="1418" w:type="dxa"/>
            <w:noWrap w:val="0"/>
            <w:vAlign w:val="center"/>
          </w:tcPr>
          <w:p w14:paraId="0B120496">
            <w:pPr>
              <w:spacing w:line="250" w:lineRule="auto"/>
              <w:jc w:val="center"/>
              <w:rPr>
                <w:rFonts w:hint="default" w:ascii="仿宋_GB2312" w:hAnsi="仿宋_GB2312" w:eastAsia="仿宋_GB2312" w:cs="仿宋_GB2312"/>
                <w:spacing w:val="-17"/>
                <w:w w:val="97"/>
                <w:sz w:val="22"/>
                <w:szCs w:val="22"/>
                <w:vertAlign w:val="baseline"/>
                <w:lang w:val="en-US"/>
              </w:rPr>
            </w:pPr>
            <w:r>
              <w:rPr>
                <w:rFonts w:hint="eastAsia" w:ascii="仿宋_GB2312" w:hAnsi="仿宋_GB2312" w:eastAsia="仿宋_GB2312" w:cs="仿宋_GB2312"/>
                <w:spacing w:val="-17"/>
                <w:w w:val="97"/>
                <w:sz w:val="22"/>
                <w:szCs w:val="22"/>
                <w:vertAlign w:val="baseline"/>
                <w:lang w:val="en-US" w:eastAsia="zh-CN"/>
              </w:rPr>
              <w:t>双方签订合同，按照合同收费</w:t>
            </w:r>
          </w:p>
        </w:tc>
        <w:tc>
          <w:tcPr>
            <w:tcW w:w="1412" w:type="dxa"/>
            <w:noWrap w:val="0"/>
            <w:vAlign w:val="center"/>
          </w:tcPr>
          <w:p w14:paraId="550E82F0">
            <w:pPr>
              <w:spacing w:line="250" w:lineRule="auto"/>
              <w:jc w:val="center"/>
              <w:rPr>
                <w:rFonts w:hint="default" w:ascii="仿宋_GB2312" w:hAnsi="仿宋_GB2312" w:eastAsia="仿宋_GB2312" w:cs="仿宋_GB2312"/>
                <w:spacing w:val="-17"/>
                <w:w w:val="97"/>
                <w:sz w:val="22"/>
                <w:szCs w:val="22"/>
                <w:vertAlign w:val="baseline"/>
                <w:lang w:val="en-US" w:eastAsia="zh-CN"/>
              </w:rPr>
            </w:pPr>
            <w:r>
              <w:rPr>
                <w:rFonts w:hint="eastAsia" w:ascii="仿宋_GB2312" w:hAnsi="仿宋_GB2312" w:eastAsia="仿宋_GB2312" w:cs="仿宋_GB2312"/>
                <w:spacing w:val="-17"/>
                <w:w w:val="97"/>
                <w:sz w:val="22"/>
                <w:szCs w:val="22"/>
                <w:vertAlign w:val="baseline"/>
                <w:lang w:val="en-US" w:eastAsia="zh-CN"/>
              </w:rPr>
              <w:t>开展有偿技术服务（涉及食品类523项、环境类291项、病原类76项、职业类255项、放射类79项、消毒类138项、病媒类29项、查体类41项、其他及补充35项。）</w:t>
            </w:r>
          </w:p>
        </w:tc>
        <w:tc>
          <w:tcPr>
            <w:tcW w:w="1166" w:type="dxa"/>
            <w:noWrap w:val="0"/>
            <w:vAlign w:val="center"/>
          </w:tcPr>
          <w:p w14:paraId="191DFD73">
            <w:pPr>
              <w:spacing w:line="250" w:lineRule="auto"/>
              <w:jc w:val="center"/>
              <w:rPr>
                <w:rFonts w:hint="default" w:ascii="仿宋_GB2312" w:hAnsi="仿宋_GB2312" w:eastAsia="仿宋_GB2312" w:cs="仿宋_GB2312"/>
                <w:spacing w:val="-17"/>
                <w:w w:val="97"/>
                <w:sz w:val="22"/>
                <w:szCs w:val="22"/>
                <w:vertAlign w:val="baseline"/>
                <w:lang w:val="en-US" w:eastAsia="zh-CN"/>
              </w:rPr>
            </w:pPr>
            <w:r>
              <w:rPr>
                <w:rFonts w:hint="eastAsia" w:ascii="仿宋_GB2312" w:hAnsi="仿宋_GB2312" w:eastAsia="仿宋_GB2312" w:cs="仿宋_GB2312"/>
                <w:spacing w:val="-17"/>
                <w:w w:val="97"/>
                <w:sz w:val="22"/>
                <w:szCs w:val="22"/>
                <w:vertAlign w:val="baseline"/>
                <w:lang w:val="en-US" w:eastAsia="zh-CN"/>
              </w:rPr>
              <w:t>详见附件。（济南市疾病预防控制中心收费标准）</w:t>
            </w:r>
          </w:p>
        </w:tc>
        <w:tc>
          <w:tcPr>
            <w:tcW w:w="1186" w:type="dxa"/>
            <w:noWrap w:val="0"/>
            <w:vAlign w:val="center"/>
          </w:tcPr>
          <w:p w14:paraId="7F592D44">
            <w:pPr>
              <w:spacing w:line="250" w:lineRule="auto"/>
              <w:jc w:val="center"/>
              <w:rPr>
                <w:rFonts w:hint="default" w:ascii="仿宋_GB2312" w:hAnsi="仿宋_GB2312" w:eastAsia="仿宋_GB2312" w:cs="仿宋_GB2312"/>
                <w:spacing w:val="-17"/>
                <w:w w:val="97"/>
                <w:sz w:val="22"/>
                <w:szCs w:val="22"/>
                <w:vertAlign w:val="baseline"/>
                <w:lang w:val="en-US" w:eastAsia="zh-CN"/>
              </w:rPr>
            </w:pPr>
            <w:r>
              <w:rPr>
                <w:rFonts w:hint="eastAsia" w:ascii="仿宋_GB2312" w:hAnsi="仿宋_GB2312" w:eastAsia="仿宋_GB2312" w:cs="仿宋_GB2312"/>
                <w:spacing w:val="-17"/>
                <w:w w:val="97"/>
                <w:sz w:val="22"/>
                <w:szCs w:val="22"/>
                <w:vertAlign w:val="baseline"/>
                <w:lang w:val="en-US" w:eastAsia="zh-CN"/>
              </w:rPr>
              <w:t>参照山东省疾病预防控制中心项目收费标准</w:t>
            </w:r>
          </w:p>
        </w:tc>
        <w:tc>
          <w:tcPr>
            <w:tcW w:w="1392" w:type="dxa"/>
            <w:noWrap w:val="0"/>
            <w:vAlign w:val="center"/>
          </w:tcPr>
          <w:p w14:paraId="3F5C8D70">
            <w:pPr>
              <w:spacing w:line="250" w:lineRule="auto"/>
              <w:jc w:val="left"/>
              <w:rPr>
                <w:rFonts w:hint="eastAsia" w:ascii="仿宋_GB2312" w:hAnsi="仿宋_GB2312" w:eastAsia="仿宋_GB2312" w:cs="仿宋_GB2312"/>
                <w:spacing w:val="-17"/>
                <w:w w:val="97"/>
                <w:sz w:val="22"/>
                <w:szCs w:val="22"/>
                <w:vertAlign w:val="baseline"/>
              </w:rPr>
            </w:pPr>
            <w:r>
              <w:rPr>
                <w:rFonts w:hint="eastAsia" w:ascii="仿宋_GB2312" w:hAnsi="仿宋_GB2312" w:eastAsia="仿宋_GB2312" w:cs="仿宋_GB2312"/>
                <w:spacing w:val="-17"/>
                <w:w w:val="97"/>
                <w:sz w:val="22"/>
                <w:szCs w:val="22"/>
                <w:vertAlign w:val="baseline"/>
              </w:rPr>
              <w:t>济南市卫生健康委员会中共济南市委机构编制委员会办公室济南市发展和改革委员会指步:文件南市财政浇:跤 (3国家税务总局济南市税务局关于印发济南市深化扩大两级疾病预防控制中心改革试点工作方案的通知济卫发〔2023]15 号</w:t>
            </w:r>
          </w:p>
          <w:p w14:paraId="5E15E4A4">
            <w:pPr>
              <w:spacing w:line="250" w:lineRule="auto"/>
              <w:jc w:val="center"/>
              <w:rPr>
                <w:rFonts w:hint="eastAsia" w:ascii="仿宋_GB2312" w:hAnsi="仿宋_GB2312" w:eastAsia="仿宋_GB2312" w:cs="仿宋_GB2312"/>
                <w:spacing w:val="-17"/>
                <w:w w:val="97"/>
                <w:sz w:val="22"/>
                <w:szCs w:val="22"/>
                <w:vertAlign w:val="baseline"/>
              </w:rPr>
            </w:pPr>
          </w:p>
        </w:tc>
        <w:tc>
          <w:tcPr>
            <w:tcW w:w="1289" w:type="dxa"/>
            <w:noWrap w:val="0"/>
            <w:vAlign w:val="center"/>
          </w:tcPr>
          <w:p w14:paraId="0E7BC035">
            <w:pPr>
              <w:spacing w:line="250" w:lineRule="auto"/>
              <w:jc w:val="center"/>
              <w:rPr>
                <w:rFonts w:hint="eastAsia" w:ascii="仿宋_GB2312" w:hAnsi="仿宋_GB2312" w:eastAsia="仿宋_GB2312" w:cs="仿宋_GB2312"/>
                <w:spacing w:val="-17"/>
                <w:w w:val="97"/>
                <w:sz w:val="22"/>
                <w:szCs w:val="22"/>
                <w:vertAlign w:val="baseline"/>
              </w:rPr>
            </w:pPr>
          </w:p>
        </w:tc>
      </w:tr>
    </w:tbl>
    <w:p w14:paraId="42F0A6A3">
      <w:pPr>
        <w:spacing w:line="250" w:lineRule="auto"/>
        <w:rPr>
          <w:spacing w:val="-17"/>
          <w:w w:val="97"/>
          <w:sz w:val="45"/>
          <w:szCs w:val="45"/>
        </w:rPr>
      </w:pPr>
    </w:p>
    <w:p w14:paraId="7ACE0619">
      <w:pPr>
        <w:spacing w:line="250" w:lineRule="auto"/>
        <w:rPr>
          <w:spacing w:val="-17"/>
          <w:w w:val="97"/>
          <w:sz w:val="45"/>
          <w:szCs w:val="45"/>
        </w:rPr>
      </w:pPr>
    </w:p>
    <w:p w14:paraId="263E9D69"/>
    <w:sectPr>
      <w:pgSz w:w="16838" w:h="11906" w:orient="landscape"/>
      <w:pgMar w:top="1800"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国标黑体">
    <w:altName w:val="黑体"/>
    <w:panose1 w:val="02000500000000000000"/>
    <w:charset w:val="86"/>
    <w:family w:val="auto"/>
    <w:pitch w:val="default"/>
    <w:sig w:usb0="00000001" w:usb1="08000000" w:usb2="00000000" w:usb3="00000000" w:csb0="00040000" w:csb1="00000000"/>
  </w:font>
  <w:font w:name="方正小标宋简体">
    <w:altName w:val="黑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KSOF7DF6CDC0">
    <w:panose1 w:val="02000500000000000000"/>
    <w:charset w:val="86"/>
    <w:family w:val="auto"/>
    <w:pitch w:val="default"/>
    <w:sig w:usb0="00000001" w:usb1="00000000" w:usb2="00000000" w:usb3="00000000" w:csb0="00040001" w:csb1="00000000"/>
  </w:font>
  <w:font w:name="KSOF439EEF50">
    <w:panose1 w:val="02000000000000000000"/>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A07CF"/>
    <w:rsid w:val="1F291E28"/>
    <w:rsid w:val="2F3F11F4"/>
    <w:rsid w:val="3D566086"/>
    <w:rsid w:val="45921C25"/>
    <w:rsid w:val="4D695962"/>
    <w:rsid w:val="51C4760A"/>
    <w:rsid w:val="54B1183C"/>
    <w:rsid w:val="5A7C1671"/>
    <w:rsid w:val="60AF76D8"/>
    <w:rsid w:val="631D6B7A"/>
    <w:rsid w:val="654A5C21"/>
    <w:rsid w:val="66AD4458"/>
    <w:rsid w:val="6931512E"/>
    <w:rsid w:val="71CA611F"/>
    <w:rsid w:val="729D3834"/>
    <w:rsid w:val="74485A21"/>
    <w:rsid w:val="7A792DD8"/>
    <w:rsid w:val="7B9C6D7F"/>
    <w:rsid w:val="7BD55DED"/>
    <w:rsid w:val="7FBB563F"/>
    <w:rsid w:val="8FFF53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table" w:styleId="3">
    <w:name w:val="Table Grid"/>
    <w:basedOn w:val="2"/>
    <w:uiPriority w:val="0"/>
    <w:pPr>
      <w:widowControl w:val="0"/>
      <w:jc w:val="both"/>
    </w:pPr>
    <w:tblPr>
      <w:tblStyle w:val="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568</Words>
  <Characters>611</Characters>
  <Lines>0</Lines>
  <Paragraphs>0</Paragraphs>
  <TotalTime>19</TotalTime>
  <ScaleCrop>false</ScaleCrop>
  <LinksUpToDate>false</LinksUpToDate>
  <CharactersWithSpaces>614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2025-12-19T09:48:40Z</dcterms:created>
  <dc:creator>inspur</dc:creator>
  <cp:lastModifiedBy>兔小李</cp:lastModifiedBy>
  <dcterms:modified xsi:type="dcterms:W3CDTF">2025-12-29T08:14:07Z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1CB4F0ACBB9246789B59BAEF97081266_13</vt:lpwstr>
  </property>
  <property fmtid="{D5CDD505-2E9C-101B-9397-08002B2CF9AE}" pid="4" name="KSOTemplateDocerSaveRecord">
    <vt:lpwstr>eyJoZGlkIjoiNjY5Y2RmYjYxMTUxN2Y1YzFiZjMyNTJjZGZmN2RjODUiLCJ1c2VySWQiOiIzOTU0ODM5NTMifQ==</vt:lpwstr>
  </property>
</Properties>
</file>