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关于《济南市生活饮用水卫生监督管理办法》的</w:t>
      </w:r>
      <w:r>
        <w:rPr>
          <w:rFonts w:hint="eastAsia" w:ascii="方正小标宋简体" w:hAnsi="方正小标宋简体" w:eastAsia="方正小标宋简体" w:cs="方正小标宋简体"/>
          <w:b w:val="0"/>
          <w:bCs w:val="0"/>
          <w:sz w:val="44"/>
          <w:szCs w:val="44"/>
          <w:lang w:eastAsia="zh-CN"/>
        </w:rPr>
        <w:t>修订</w:t>
      </w:r>
      <w:r>
        <w:rPr>
          <w:rFonts w:hint="eastAsia" w:ascii="方正小标宋简体" w:hAnsi="方正小标宋简体" w:eastAsia="方正小标宋简体" w:cs="方正小标宋简体"/>
          <w:b w:val="0"/>
          <w:bCs w:val="0"/>
          <w:sz w:val="44"/>
          <w:szCs w:val="44"/>
        </w:rPr>
        <w:t>说明</w:t>
      </w:r>
    </w:p>
    <w:p>
      <w:pPr>
        <w:jc w:val="center"/>
        <w:rPr>
          <w:b/>
          <w:bCs/>
          <w:sz w:val="44"/>
          <w:szCs w:val="44"/>
        </w:rPr>
      </w:pP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leftChars="0" w:firstLine="640" w:firstLineChars="200"/>
        <w:textAlignment w:val="auto"/>
        <w:rPr>
          <w:rFonts w:ascii="仿宋" w:hAnsi="仿宋" w:eastAsia="仿宋" w:cs="仿宋"/>
          <w:sz w:val="32"/>
          <w:szCs w:val="32"/>
        </w:rPr>
      </w:pPr>
      <w:r>
        <w:rPr>
          <w:rFonts w:hint="eastAsia" w:ascii="仿宋" w:hAnsi="仿宋" w:eastAsia="仿宋"/>
          <w:sz w:val="32"/>
          <w:szCs w:val="32"/>
        </w:rPr>
        <w:t>根据</w:t>
      </w:r>
      <w:r>
        <w:rPr>
          <w:rFonts w:hint="eastAsia" w:ascii="仿宋" w:hAnsi="仿宋" w:eastAsia="仿宋" w:cs="Arial"/>
          <w:sz w:val="32"/>
          <w:szCs w:val="32"/>
        </w:rPr>
        <w:t>《</w:t>
      </w:r>
      <w:r>
        <w:rPr>
          <w:rFonts w:hint="eastAsia" w:ascii="仿宋" w:hAnsi="仿宋" w:eastAsia="仿宋" w:cs="仿宋"/>
          <w:sz w:val="32"/>
          <w:szCs w:val="32"/>
        </w:rPr>
        <w:t>市人大法制工作室〈关于部分规章、规范性文件的审查意见〉》</w:t>
      </w:r>
      <w:r>
        <w:rPr>
          <w:rFonts w:hint="eastAsia" w:ascii="仿宋" w:hAnsi="仿宋" w:eastAsia="仿宋" w:cs="仿宋"/>
          <w:sz w:val="32"/>
          <w:szCs w:val="32"/>
          <w:lang w:eastAsia="zh-CN"/>
        </w:rPr>
        <w:t>，结合</w:t>
      </w:r>
      <w:r>
        <w:rPr>
          <w:rFonts w:hint="eastAsia" w:ascii="仿宋" w:hAnsi="仿宋" w:eastAsia="仿宋" w:cs="仿宋"/>
          <w:sz w:val="32"/>
          <w:szCs w:val="32"/>
        </w:rPr>
        <w:t>我市生活饮用水卫生监督工作实际</w:t>
      </w:r>
      <w:r>
        <w:rPr>
          <w:rFonts w:hint="eastAsia" w:ascii="仿宋" w:hAnsi="仿宋" w:eastAsia="仿宋"/>
          <w:sz w:val="32"/>
          <w:szCs w:val="32"/>
        </w:rPr>
        <w:t>，市卫生健康委在充分调研和广泛征求意见基础上，起草完成了《济南市生活饮用水卫生监督管理办法</w:t>
      </w:r>
      <w:r>
        <w:rPr>
          <w:rFonts w:ascii="仿宋" w:hAnsi="仿宋" w:eastAsia="仿宋"/>
          <w:sz w:val="32"/>
          <w:szCs w:val="32"/>
        </w:rPr>
        <w:t>(</w:t>
      </w:r>
      <w:r>
        <w:rPr>
          <w:rFonts w:hint="eastAsia" w:ascii="仿宋" w:hAnsi="仿宋" w:eastAsia="仿宋"/>
          <w:sz w:val="32"/>
          <w:szCs w:val="32"/>
        </w:rPr>
        <w:t>修订征求意见稿》，现就有关情况说明如下：</w:t>
      </w:r>
    </w:p>
    <w:p>
      <w:pPr>
        <w:pStyle w:val="5"/>
        <w:keepNext w:val="0"/>
        <w:keepLines w:val="0"/>
        <w:pageBreakBefore w:val="0"/>
        <w:numPr>
          <w:ilvl w:val="0"/>
          <w:numId w:val="1"/>
        </w:numPr>
        <w:kinsoku/>
        <w:wordWrap/>
        <w:overflowPunct/>
        <w:topLinePunct w:val="0"/>
        <w:autoSpaceDE/>
        <w:autoSpaceDN/>
        <w:bidi w:val="0"/>
        <w:adjustRightInd/>
        <w:snapToGrid w:val="0"/>
        <w:spacing w:before="0" w:beforeAutospacing="0" w:after="0" w:afterAutospacing="0" w:line="560" w:lineRule="exact"/>
        <w:ind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修订背景</w:t>
      </w:r>
    </w:p>
    <w:p>
      <w:pPr>
        <w:pStyle w:val="5"/>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textAlignment w:val="auto"/>
        <w:rPr>
          <w:rFonts w:ascii="仿宋" w:hAnsi="仿宋" w:eastAsia="仿宋" w:cs="仿宋"/>
          <w:sz w:val="32"/>
          <w:szCs w:val="32"/>
        </w:rPr>
      </w:pPr>
      <w:r>
        <w:rPr>
          <w:rFonts w:hint="eastAsia" w:ascii="仿宋" w:hAnsi="仿宋" w:eastAsia="仿宋" w:cs="Arial"/>
          <w:sz w:val="32"/>
          <w:szCs w:val="32"/>
        </w:rPr>
        <w:t>目前全市供水单位共1781家，其中城市市政供水36家，城市自建设施供水单位135家，分质供水4家，农村公共供水单位695家，二次供水单位450家，现制现售饮用水经营单位462家（机器2246台）。自《济南市生活饮用水卫生监督管理办法》</w:t>
      </w:r>
      <w:r>
        <w:rPr>
          <w:rFonts w:hint="eastAsia" w:ascii="仿宋" w:hAnsi="仿宋" w:eastAsia="仿宋" w:cs="Arial"/>
          <w:sz w:val="32"/>
          <w:szCs w:val="32"/>
          <w:lang w:eastAsia="zh-CN"/>
        </w:rPr>
        <w:t>（简称《办法》）</w:t>
      </w:r>
      <w:r>
        <w:rPr>
          <w:rFonts w:hint="eastAsia" w:ascii="仿宋" w:hAnsi="仿宋" w:eastAsia="仿宋" w:cs="Arial"/>
          <w:sz w:val="32"/>
          <w:szCs w:val="32"/>
        </w:rPr>
        <w:t>实施以来，济南市卫生</w:t>
      </w:r>
      <w:r>
        <w:rPr>
          <w:rFonts w:hint="eastAsia" w:ascii="仿宋" w:hAnsi="仿宋" w:eastAsia="仿宋" w:cs="Arial"/>
          <w:sz w:val="32"/>
          <w:szCs w:val="32"/>
          <w:lang w:eastAsia="zh-CN"/>
        </w:rPr>
        <w:t>健康</w:t>
      </w:r>
      <w:r>
        <w:rPr>
          <w:rFonts w:hint="eastAsia" w:ascii="仿宋" w:hAnsi="仿宋" w:eastAsia="仿宋" w:cs="Arial"/>
          <w:sz w:val="32"/>
          <w:szCs w:val="32"/>
        </w:rPr>
        <w:t>监督机构共检查供水单位7077户次，对117家供水单位进行立案查处，罚款共353800元，尤其是在二次供水和现制现售饮用水卫生监督方面</w:t>
      </w:r>
      <w:r>
        <w:rPr>
          <w:rFonts w:hint="eastAsia" w:ascii="仿宋" w:hAnsi="仿宋" w:eastAsia="仿宋" w:cs="仿宋"/>
          <w:sz w:val="32"/>
          <w:szCs w:val="32"/>
        </w:rPr>
        <w:t>收到良好的效果。根据《市人大法制工作室〈关于部分规章、规范性文件的审查意见〉》</w:t>
      </w:r>
      <w:r>
        <w:rPr>
          <w:rFonts w:hint="eastAsia" w:ascii="仿宋" w:hAnsi="仿宋" w:eastAsia="仿宋" w:cs="仿宋"/>
          <w:sz w:val="32"/>
          <w:szCs w:val="32"/>
          <w:lang w:eastAsia="zh-CN"/>
        </w:rPr>
        <w:t>，结合</w:t>
      </w:r>
      <w:r>
        <w:rPr>
          <w:rFonts w:hint="eastAsia" w:ascii="仿宋" w:hAnsi="仿宋" w:eastAsia="仿宋" w:cs="仿宋"/>
          <w:sz w:val="32"/>
          <w:szCs w:val="32"/>
        </w:rPr>
        <w:t>工作实际，</w:t>
      </w:r>
      <w:r>
        <w:rPr>
          <w:rFonts w:hint="eastAsia" w:ascii="仿宋" w:hAnsi="仿宋" w:eastAsia="仿宋" w:cs="仿宋"/>
          <w:sz w:val="32"/>
          <w:szCs w:val="32"/>
          <w:lang w:eastAsia="zh-CN"/>
        </w:rPr>
        <w:t>需要对《办法》进行修改，主要原因如下</w:t>
      </w:r>
      <w:r>
        <w:rPr>
          <w:rFonts w:hint="eastAsia" w:ascii="仿宋" w:hAnsi="仿宋" w:eastAsia="仿宋" w:cs="仿宋"/>
          <w:sz w:val="32"/>
          <w:szCs w:val="32"/>
        </w:rPr>
        <w:t>：</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ascii="楷体" w:hAnsi="楷体" w:eastAsia="楷体" w:cs="楷体"/>
          <w:sz w:val="32"/>
          <w:szCs w:val="32"/>
          <w:highlight w:val="yellow"/>
        </w:rPr>
      </w:pPr>
      <w:r>
        <w:rPr>
          <w:rFonts w:hint="eastAsia" w:ascii="楷体" w:hAnsi="楷体" w:eastAsia="楷体" w:cs="楷体"/>
          <w:sz w:val="32"/>
          <w:szCs w:val="32"/>
          <w:lang w:eastAsia="zh-CN"/>
        </w:rPr>
        <w:t>（一）</w:t>
      </w:r>
      <w:r>
        <w:rPr>
          <w:rFonts w:ascii="楷体" w:hAnsi="楷体" w:eastAsia="楷体" w:cs="楷体"/>
          <w:sz w:val="32"/>
          <w:szCs w:val="32"/>
        </w:rPr>
        <w:t>因政府机构改革，</w:t>
      </w:r>
      <w:r>
        <w:rPr>
          <w:rFonts w:hint="eastAsia" w:ascii="楷体" w:hAnsi="楷体" w:eastAsia="楷体" w:cs="楷体"/>
          <w:sz w:val="32"/>
          <w:szCs w:val="32"/>
        </w:rPr>
        <w:t>相关部门机构名称和职能发生变化</w:t>
      </w:r>
      <w:r>
        <w:rPr>
          <w:rFonts w:ascii="楷体" w:hAnsi="楷体" w:eastAsia="楷体" w:cs="楷体"/>
          <w:sz w:val="32"/>
          <w:szCs w:val="32"/>
        </w:rPr>
        <w:t>。</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leftChars="0" w:firstLine="640" w:firstLineChars="200"/>
        <w:textAlignment w:val="auto"/>
        <w:rPr>
          <w:rFonts w:ascii="仿宋" w:hAnsi="仿宋" w:eastAsia="仿宋" w:cs="仿宋"/>
          <w:sz w:val="32"/>
          <w:szCs w:val="32"/>
        </w:rPr>
      </w:pPr>
      <w:r>
        <w:rPr>
          <w:rFonts w:hint="eastAsia" w:ascii="楷体" w:hAnsi="楷体" w:eastAsia="楷体" w:cs="楷体"/>
          <w:sz w:val="32"/>
          <w:szCs w:val="32"/>
        </w:rPr>
        <w:t>（二）管辖范围名称变化。</w:t>
      </w:r>
      <w:r>
        <w:rPr>
          <w:rFonts w:ascii="仿宋" w:hAnsi="仿宋" w:eastAsia="仿宋" w:cs="仿宋"/>
          <w:sz w:val="32"/>
          <w:szCs w:val="32"/>
        </w:rPr>
        <w:t>随着城市发展和济莱合并，</w:t>
      </w:r>
      <w:bookmarkStart w:id="0" w:name="_GoBack"/>
      <w:bookmarkEnd w:id="0"/>
      <w:r>
        <w:rPr>
          <w:rFonts w:hint="eastAsia" w:ascii="仿宋" w:hAnsi="仿宋" w:eastAsia="仿宋" w:cs="仿宋"/>
          <w:sz w:val="32"/>
          <w:szCs w:val="32"/>
          <w:lang w:eastAsia="zh-CN"/>
        </w:rPr>
        <w:t>需要对管辖范围进行调整</w:t>
      </w:r>
      <w:r>
        <w:rPr>
          <w:rFonts w:ascii="仿宋" w:hAnsi="仿宋" w:eastAsia="仿宋" w:cs="仿宋"/>
          <w:sz w:val="32"/>
          <w:szCs w:val="32"/>
        </w:rPr>
        <w:t>。</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leftChars="0"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（三）《办法》第二十六条、第二十七条规定与部门规章《生活饮用水卫生监督管理办法》的规定不一致。</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修订内容</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Arial"/>
          <w:kern w:val="0"/>
          <w:sz w:val="32"/>
          <w:szCs w:val="32"/>
          <w:lang w:val="en-US" w:eastAsia="zh-CN" w:bidi="ar-SA"/>
        </w:rPr>
      </w:pPr>
      <w:r>
        <w:rPr>
          <w:rFonts w:hint="eastAsia" w:ascii="仿宋" w:hAnsi="仿宋" w:eastAsia="仿宋" w:cs="Arial"/>
          <w:kern w:val="0"/>
          <w:sz w:val="32"/>
          <w:szCs w:val="32"/>
          <w:lang w:val="en-US" w:eastAsia="zh-CN" w:bidi="ar-SA"/>
        </w:rPr>
        <w:t xml:space="preserve">1.第三条“ </w:t>
      </w:r>
      <w:r>
        <w:rPr>
          <w:rFonts w:hint="default" w:ascii="仿宋" w:hAnsi="仿宋" w:eastAsia="仿宋" w:cs="Arial"/>
          <w:kern w:val="0"/>
          <w:sz w:val="32"/>
          <w:szCs w:val="32"/>
          <w:lang w:val="en-US" w:eastAsia="zh-CN" w:bidi="ar-SA"/>
        </w:rPr>
        <w:t>市、县区人民政府(含济南高新区管委会)应当将生活饮用水卫生安全保障纳入国民经济和社会发展规划，将生活饮用水卫生监督管理工作经费列入本级政府财政预算</w:t>
      </w:r>
      <w:r>
        <w:rPr>
          <w:rFonts w:hint="eastAsia" w:ascii="仿宋" w:hAnsi="仿宋" w:eastAsia="仿宋" w:cs="Arial"/>
          <w:kern w:val="0"/>
          <w:sz w:val="32"/>
          <w:szCs w:val="32"/>
          <w:lang w:val="en-US" w:eastAsia="zh-CN" w:bidi="ar-SA"/>
        </w:rPr>
        <w:t>。</w:t>
      </w:r>
      <w:r>
        <w:rPr>
          <w:rFonts w:hint="default" w:ascii="仿宋" w:hAnsi="仿宋" w:eastAsia="仿宋" w:cs="Arial"/>
          <w:kern w:val="0"/>
          <w:sz w:val="32"/>
          <w:szCs w:val="32"/>
          <w:lang w:val="en" w:eastAsia="zh-CN" w:bidi="ar-SA"/>
        </w:rPr>
        <w:t>”</w:t>
      </w:r>
      <w:r>
        <w:rPr>
          <w:rFonts w:hint="eastAsia" w:ascii="仿宋" w:hAnsi="仿宋" w:eastAsia="仿宋" w:cs="Arial"/>
          <w:kern w:val="0"/>
          <w:sz w:val="32"/>
          <w:szCs w:val="32"/>
          <w:lang w:val="en" w:eastAsia="zh-CN" w:bidi="ar-SA"/>
        </w:rPr>
        <w:t>修改为</w:t>
      </w:r>
      <w:r>
        <w:rPr>
          <w:rFonts w:hint="eastAsia" w:ascii="仿宋" w:hAnsi="仿宋" w:eastAsia="仿宋" w:cs="Arial"/>
          <w:kern w:val="0"/>
          <w:sz w:val="32"/>
          <w:szCs w:val="32"/>
          <w:lang w:val="en-US" w:eastAsia="zh-CN" w:bidi="ar-SA"/>
        </w:rPr>
        <w:t>“ 市、区县人民政府（功能区）应当将生活饮用水卫生安全保障纳入国民经济和社会发展规划，将生活饮用水卫生监督管理工作经费列入本级政府财政预算。”。</w:t>
      </w:r>
      <w:r>
        <w:rPr>
          <w:rFonts w:hint="eastAsia" w:ascii="仿宋" w:hAnsi="仿宋" w:eastAsia="仿宋" w:cs="Arial"/>
          <w:kern w:val="0"/>
          <w:sz w:val="32"/>
          <w:szCs w:val="32"/>
          <w:lang w:val="en-US" w:eastAsia="zh-CN" w:bidi="ar-SA"/>
        </w:rPr>
        <w:br w:type="textWrapping"/>
      </w:r>
      <w:r>
        <w:rPr>
          <w:rFonts w:hint="eastAsia" w:ascii="仿宋" w:hAnsi="仿宋" w:eastAsia="仿宋" w:cs="Arial"/>
          <w:kern w:val="0"/>
          <w:sz w:val="32"/>
          <w:szCs w:val="32"/>
          <w:lang w:val="en-US" w:eastAsia="zh-CN" w:bidi="ar-SA"/>
        </w:rPr>
        <w:t xml:space="preserve">　　2.第四条“市、县区（含济南高新区）卫生计生行政部门负责本辖区内生活饮用水卫生监督工作。城市供水主管部门、水行政主管部门按照职责分工负责供水单位的日常监督管理工作。环境保护、工商行政管理（市场监管）、城市管理（执法）、住房保障等部门依照各自职责协同做好生活饮用水卫生监督管理工作。镇人民政府（街道办事处）按照职责分工组织做好本行政区域内生活饮用水卫生管理工作”修改为“市、区县（功能区）卫生健康行政部门负责本辖区内生活饮用水卫生监督工作。城市供水主管部门负责供水单位的日常监督管理工作。环境保护、市场监督管理、城市管理、住房保障等部门依照各自职责协同做好生活饮用水卫生监督管理工作。镇人民政府（街道办事处）按照职责分工组织做好本行政区域内生活饮用水卫生管理工作”。               </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Arial"/>
          <w:kern w:val="0"/>
          <w:sz w:val="32"/>
          <w:szCs w:val="32"/>
          <w:lang w:val="en-US" w:eastAsia="zh-CN" w:bidi="ar-SA"/>
        </w:rPr>
      </w:pPr>
      <w:r>
        <w:rPr>
          <w:rFonts w:hint="eastAsia" w:ascii="仿宋" w:hAnsi="仿宋" w:eastAsia="仿宋" w:cs="Arial"/>
          <w:kern w:val="0"/>
          <w:sz w:val="32"/>
          <w:szCs w:val="32"/>
          <w:lang w:val="en-US" w:eastAsia="zh-CN" w:bidi="ar-SA"/>
        </w:rPr>
        <w:t>3.第五条“市、县区卫生计生行政部门及有关部门应当加强生活饮用水卫生安全的宣传教育，普及生活饮用水卫生安全知识。任何组织和个人有权举报生活饮用水卫生安全违法行为”修改为“市、区县卫生健康行政部门及有关部门应当加强生活饮用水卫生安全的宣传教育，普及生活饮用水卫生安全知识。任何组织和个人有权举报生活饮用水卫生安全违法行为”。</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leftChars="0" w:firstLine="640" w:firstLineChars="200"/>
        <w:jc w:val="left"/>
        <w:textAlignment w:val="auto"/>
        <w:rPr>
          <w:rFonts w:hint="eastAsia" w:ascii="仿宋" w:hAnsi="仿宋" w:eastAsia="仿宋" w:cs="Arial"/>
          <w:kern w:val="0"/>
          <w:sz w:val="32"/>
          <w:szCs w:val="32"/>
          <w:lang w:val="en-US" w:eastAsia="zh-CN" w:bidi="ar-SA"/>
        </w:rPr>
      </w:pPr>
      <w:r>
        <w:rPr>
          <w:rFonts w:hint="eastAsia" w:ascii="仿宋" w:hAnsi="仿宋" w:eastAsia="仿宋" w:cs="Arial"/>
          <w:kern w:val="0"/>
          <w:sz w:val="32"/>
          <w:szCs w:val="32"/>
          <w:lang w:val="en-US" w:eastAsia="zh-CN" w:bidi="ar-SA"/>
        </w:rPr>
        <w:t>4.第七条“集中式供水单位、二次供水设施管理单位从事生产或者供应活动，应当依照国家规定取得县级以上卫生计生行政部门的卫生许可。”修改为“集中式供水单位、二次供水设施管理单位从事生产或者供应活动，应当依照国家规定取得县级以上行政审批部门的卫生许可。”。</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eastAsia" w:ascii="宋体" w:hAnsi="宋体" w:eastAsia="宋体" w:cs="宋体"/>
          <w:i w:val="0"/>
          <w:caps w:val="0"/>
          <w:color w:val="000000"/>
          <w:spacing w:val="0"/>
          <w:sz w:val="21"/>
          <w:szCs w:val="21"/>
          <w:lang w:eastAsia="zh-CN"/>
        </w:rPr>
      </w:pPr>
      <w:r>
        <w:rPr>
          <w:rFonts w:hint="eastAsia" w:ascii="仿宋" w:hAnsi="仿宋" w:eastAsia="仿宋" w:cs="Arial"/>
          <w:kern w:val="0"/>
          <w:sz w:val="32"/>
          <w:szCs w:val="32"/>
          <w:lang w:val="en-US" w:eastAsia="zh-CN" w:bidi="ar-SA"/>
        </w:rPr>
        <w:t>5.第八条“从事现制现售饮用水经营必须依法取得工商营业执照，凭工商营业执照到城市供水主管部门、水行政主管部门办理特种用水的合法使用手续。现制现售饮用水经营者必须自设备投入使用之日，将下列信息报送设备所在地县区卫生计生行政部门登记备查：（一）设备的初始经营使用时间、设置的具体地点；（二）涉及饮用水卫生安全产品（以下简称涉水产品）卫生许可批准文件复印件；（三）有资质的检验机构出具的出水水质合格检测报告；（四）特种用水使用合法证明。”修改为“从事现制现售饮用水经营必须依法取得营业执照。”。</w:t>
      </w:r>
    </w:p>
    <w:p>
      <w:pPr>
        <w:keepNext w:val="0"/>
        <w:keepLines w:val="0"/>
        <w:pageBreakBefore w:val="0"/>
        <w:widowControl/>
        <w:suppressLineNumbers w:val="0"/>
        <w:shd w:val="clear" w:fill="FFFFFF"/>
        <w:kinsoku/>
        <w:wordWrap w:val="0"/>
        <w:overflowPunct/>
        <w:topLinePunct w:val="0"/>
        <w:autoSpaceDE/>
        <w:autoSpaceDN/>
        <w:bidi w:val="0"/>
        <w:adjustRightInd/>
        <w:snapToGrid w:val="0"/>
        <w:spacing w:line="560" w:lineRule="exact"/>
        <w:ind w:left="0" w:firstLine="640" w:firstLineChars="200"/>
        <w:jc w:val="left"/>
        <w:textAlignment w:val="auto"/>
        <w:rPr>
          <w:rFonts w:hint="default" w:ascii="仿宋" w:hAnsi="仿宋" w:eastAsia="仿宋" w:cs="Arial"/>
          <w:kern w:val="0"/>
          <w:sz w:val="32"/>
          <w:szCs w:val="32"/>
          <w:lang w:val="en-US" w:eastAsia="zh-CN" w:bidi="ar-SA"/>
        </w:rPr>
      </w:pPr>
      <w:r>
        <w:rPr>
          <w:rFonts w:hint="eastAsia" w:ascii="仿宋" w:hAnsi="仿宋" w:eastAsia="仿宋" w:cs="Arial"/>
          <w:kern w:val="0"/>
          <w:sz w:val="32"/>
          <w:szCs w:val="32"/>
          <w:lang w:val="en-US" w:eastAsia="zh-CN" w:bidi="ar-SA"/>
        </w:rPr>
        <w:t>6.第九条“（六）按照本办法及相关卫生标准、规范要求开展水质检测，达到相关水质标准要求后方可供水。”修改为“（六）现制现售饮用水经营者应按照本办法及相关卫生标准、规范要求开展水质检测，达到相关水质标准要求后方可供水。”</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_GB2312" w:cs="Arial"/>
          <w:kern w:val="0"/>
          <w:sz w:val="32"/>
          <w:szCs w:val="32"/>
          <w:lang w:val="en-US" w:eastAsia="zh-CN" w:bidi="ar-SA"/>
        </w:rPr>
      </w:pPr>
      <w:r>
        <w:rPr>
          <w:rFonts w:hint="eastAsia" w:ascii="仿宋" w:hAnsi="仿宋" w:eastAsia="仿宋" w:cs="Arial"/>
          <w:kern w:val="0"/>
          <w:sz w:val="32"/>
          <w:szCs w:val="32"/>
          <w:lang w:val="en-US" w:eastAsia="zh-CN" w:bidi="ar-SA"/>
        </w:rPr>
        <w:t>7.第十三条“</w:t>
      </w:r>
      <w:r>
        <w:rPr>
          <w:rFonts w:hint="default" w:ascii="仿宋" w:hAnsi="仿宋" w:eastAsia="仿宋" w:cs="Arial"/>
          <w:kern w:val="0"/>
          <w:sz w:val="32"/>
          <w:szCs w:val="32"/>
          <w:lang w:val="en-US" w:eastAsia="zh-CN" w:bidi="ar-SA"/>
        </w:rPr>
        <w:t>二次供水设施管理单位应当在对二次供水储水设施实施清洗、消毒前两日，通过张贴告示等方式，告知业主清洗、消毒的具体时间。实施清洗、消毒时应当邀请业主委员会(业主代表)、居(村)民委员会全程进行监督,并在清洗、消毒记录上签字确认，存档备查。二次供水设施管理单位应当在二次供水储水设施清洗、消毒完成后24小时内，将清洗、消毒的有关情况向业主公示</w:t>
      </w:r>
      <w:r>
        <w:rPr>
          <w:rFonts w:hint="eastAsia" w:ascii="仿宋" w:hAnsi="仿宋" w:eastAsia="仿宋" w:cs="Arial"/>
          <w:kern w:val="0"/>
          <w:sz w:val="32"/>
          <w:szCs w:val="32"/>
          <w:lang w:val="en-US" w:eastAsia="zh-CN" w:bidi="ar-SA"/>
        </w:rPr>
        <w:t>。”修改为“</w:t>
      </w:r>
      <w:r>
        <w:rPr>
          <w:rFonts w:hint="eastAsia" w:ascii="仿宋_GB2312" w:eastAsia="仿宋_GB2312"/>
          <w:sz w:val="32"/>
          <w:szCs w:val="32"/>
        </w:rPr>
        <w:t>二次供水设管理单位应当在对二次供水储水设施实施清洗、消毒前两日，通过张贴告示等方式，告知业主清洗、消毒的具体时间</w:t>
      </w:r>
      <w:r>
        <w:rPr>
          <w:rFonts w:hint="eastAsia" w:ascii="仿宋_GB2312" w:eastAsia="仿宋_GB2312"/>
          <w:sz w:val="32"/>
          <w:szCs w:val="32"/>
          <w:lang w:eastAsia="zh-CN"/>
        </w:rPr>
        <w:t>。</w:t>
      </w:r>
      <w:r>
        <w:rPr>
          <w:rFonts w:hint="eastAsia" w:ascii="仿宋_GB2312" w:eastAsia="仿宋_GB2312"/>
          <w:sz w:val="32"/>
          <w:szCs w:val="32"/>
        </w:rPr>
        <w:t>二次供水设管理单位应当在对二次供水储水设施实施清洗、消毒完成后一周内，将清洗、消毒的有关情况向业主公示</w:t>
      </w:r>
      <w:r>
        <w:rPr>
          <w:rFonts w:hint="eastAsia" w:ascii="仿宋_GB2312" w:eastAsia="仿宋_GB2312"/>
          <w:sz w:val="32"/>
          <w:szCs w:val="32"/>
          <w:lang w:eastAsia="zh-CN"/>
        </w:rPr>
        <w:t>。</w:t>
      </w:r>
      <w:r>
        <w:rPr>
          <w:rFonts w:hint="eastAsia" w:ascii="仿宋_GB2312" w:eastAsia="仿宋_GB2312"/>
          <w:sz w:val="32"/>
          <w:szCs w:val="32"/>
        </w:rPr>
        <w:t>”。</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Arial"/>
          <w:kern w:val="0"/>
          <w:sz w:val="32"/>
          <w:szCs w:val="32"/>
          <w:lang w:val="en-US" w:eastAsia="zh-CN" w:bidi="ar-SA"/>
        </w:rPr>
      </w:pPr>
      <w:r>
        <w:rPr>
          <w:rFonts w:hint="eastAsia" w:ascii="仿宋" w:hAnsi="仿宋" w:eastAsia="仿宋" w:cs="Arial"/>
          <w:kern w:val="0"/>
          <w:sz w:val="32"/>
          <w:szCs w:val="32"/>
          <w:lang w:val="en-US" w:eastAsia="zh-CN" w:bidi="ar-SA"/>
        </w:rPr>
        <w:t>8.原第十六条“市城市供水主管部门应当会同水行政、价格、财政主管部门制定特种用水、尾水回收的具体管理办法，并向社会公布。”删除。</w:t>
      </w:r>
    </w:p>
    <w:p>
      <w:pPr>
        <w:pStyle w:val="5"/>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jc w:val="left"/>
        <w:textAlignment w:val="auto"/>
        <w:rPr>
          <w:rFonts w:hint="eastAsia" w:ascii="仿宋" w:hAnsi="仿宋" w:eastAsia="仿宋" w:cs="Arial"/>
          <w:kern w:val="0"/>
          <w:sz w:val="32"/>
          <w:szCs w:val="32"/>
          <w:lang w:val="en-US" w:eastAsia="zh-CN" w:bidi="ar-SA"/>
        </w:rPr>
      </w:pPr>
      <w:r>
        <w:rPr>
          <w:rFonts w:hint="eastAsia" w:ascii="仿宋" w:hAnsi="仿宋" w:eastAsia="仿宋" w:cs="Arial"/>
          <w:kern w:val="0"/>
          <w:sz w:val="32"/>
          <w:szCs w:val="32"/>
          <w:lang w:val="en-US" w:eastAsia="zh-CN" w:bidi="ar-SA"/>
        </w:rPr>
        <w:t>9.原第十七条第三款“卫生计生行政部门应当加强对现制现售饮用水水质的抽查检验，对信用等级较低的经营者所供水质，相应增加抽查检验频次”修改为第十六条“卫生健康行政部门应当加强对现制现售饮用水水质的抽查检验，对信用等级较低的经营者所供水质，相应增加抽查检验频次”。</w:t>
      </w:r>
      <w:r>
        <w:rPr>
          <w:rFonts w:hint="eastAsia" w:ascii="仿宋" w:hAnsi="仿宋" w:eastAsia="仿宋" w:cs="宋体"/>
          <w:color w:val="3D3D3D"/>
          <w:sz w:val="32"/>
          <w:szCs w:val="32"/>
        </w:rPr>
        <w:br w:type="textWrapping"/>
      </w:r>
      <w:r>
        <w:rPr>
          <w:rFonts w:hint="default" w:ascii="仿宋" w:hAnsi="仿宋" w:eastAsia="仿宋" w:cs="宋体"/>
          <w:color w:val="3D3D3D"/>
          <w:sz w:val="32"/>
          <w:szCs w:val="32"/>
          <w:lang w:val="en"/>
        </w:rPr>
        <w:t xml:space="preserve">   </w:t>
      </w:r>
      <w:r>
        <w:rPr>
          <w:rFonts w:hint="eastAsia" w:ascii="仿宋" w:hAnsi="仿宋" w:eastAsia="仿宋" w:cs="宋体"/>
          <w:color w:val="3D3D3D"/>
          <w:sz w:val="32"/>
          <w:szCs w:val="32"/>
          <w:lang w:val="en-US" w:eastAsia="zh-CN"/>
        </w:rPr>
        <w:t>10</w:t>
      </w:r>
      <w:r>
        <w:rPr>
          <w:rFonts w:hint="default" w:ascii="仿宋" w:hAnsi="仿宋" w:eastAsia="仿宋" w:cs="宋体"/>
          <w:color w:val="3D3D3D"/>
          <w:sz w:val="32"/>
          <w:szCs w:val="32"/>
          <w:lang w:val="en"/>
        </w:rPr>
        <w:t>.</w:t>
      </w:r>
      <w:r>
        <w:rPr>
          <w:rFonts w:hint="eastAsia" w:ascii="仿宋" w:hAnsi="仿宋" w:eastAsia="仿宋" w:cs="宋体"/>
          <w:color w:val="3D3D3D"/>
          <w:sz w:val="32"/>
          <w:szCs w:val="32"/>
          <w:lang w:val="en" w:eastAsia="zh-CN"/>
        </w:rPr>
        <w:t>原</w:t>
      </w:r>
      <w:r>
        <w:rPr>
          <w:rFonts w:hint="eastAsia" w:ascii="仿宋" w:hAnsi="仿宋" w:eastAsia="仿宋" w:cs="宋体"/>
          <w:color w:val="3D3D3D"/>
          <w:sz w:val="32"/>
          <w:szCs w:val="32"/>
        </w:rPr>
        <w:t>第</w:t>
      </w:r>
      <w:r>
        <w:rPr>
          <w:rFonts w:hint="eastAsia" w:ascii="仿宋" w:hAnsi="仿宋" w:eastAsia="仿宋" w:cs="Arial"/>
          <w:kern w:val="0"/>
          <w:sz w:val="32"/>
          <w:szCs w:val="32"/>
          <w:lang w:val="en-US" w:eastAsia="zh-CN" w:bidi="ar-SA"/>
        </w:rPr>
        <w:t>二十三条第二款“导致或发生生活饮用水污染事件的，有关责任单位应当立即采取控制措施，并按规定及时向卫生计生、环境保护、水行政、城市供水主管等部门报告”修改为第二十二条“导致或发生生活饮用水污染事件的，有关责任单位应当立即采取控制措施，并按规定及时向卫生健康、环境保护、城乡水务等部门报告。”。</w:t>
      </w:r>
    </w:p>
    <w:p>
      <w:pPr>
        <w:pStyle w:val="5"/>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jc w:val="left"/>
        <w:textAlignment w:val="auto"/>
        <w:rPr>
          <w:rFonts w:hint="eastAsia" w:ascii="仿宋" w:hAnsi="仿宋" w:eastAsia="仿宋" w:cs="Arial"/>
          <w:kern w:val="0"/>
          <w:sz w:val="32"/>
          <w:szCs w:val="32"/>
          <w:lang w:val="en-US" w:eastAsia="zh-CN" w:bidi="ar-SA"/>
        </w:rPr>
      </w:pPr>
      <w:r>
        <w:rPr>
          <w:rFonts w:hint="eastAsia" w:ascii="仿宋" w:hAnsi="仿宋" w:eastAsia="仿宋" w:cs="Arial"/>
          <w:kern w:val="0"/>
          <w:sz w:val="32"/>
          <w:szCs w:val="32"/>
          <w:lang w:val="en-US" w:eastAsia="zh-CN" w:bidi="ar-SA"/>
        </w:rPr>
        <w:t xml:space="preserve">11.原第二十五条“县级以上卫生计生行政部门应当会同相关部门根据应急预案和不同情形，报同级人民政府批准后分别采取下列措施：（一）责令供水单位立即暂停供水；（二）责令供水单位对受到污染的供水设施、设备和管网采取清洗、消毒等措施；（三）责令供水单位采取控制污染源、切断污染途径等其他措施。供水单位应当对受到污染的供水设备、设施、管网等进行清洗、消毒，消除卫生安全隐患，经检测水质符合相关标准后方可恢复供水。”修改为第二十四条“县级以上卫生健康行政部门应当会同相关部门根据应急预案和不同情形，报同级人民政府批准后分别采取下列措施：（一）责令供水单位立即暂停供水；（二）责令供水单位对受到污染的供水设施、设备和管网采取清洗、消毒等措施；（三）责令供水单位采取控制污染源、切断污染途径等其他措施。供水单位应当对受到污染的供水设备、设施、管网等进行清洗、消毒，消除卫生安全隐患，经检测水质符合相关标准后方可恢复供水。”。                                    </w:t>
      </w:r>
    </w:p>
    <w:p>
      <w:pPr>
        <w:pStyle w:val="5"/>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jc w:val="left"/>
        <w:textAlignment w:val="auto"/>
        <w:rPr>
          <w:rFonts w:hint="eastAsia" w:ascii="仿宋" w:hAnsi="仿宋" w:eastAsia="仿宋" w:cs="Arial"/>
          <w:kern w:val="0"/>
          <w:sz w:val="32"/>
          <w:szCs w:val="32"/>
          <w:lang w:val="en-US" w:eastAsia="zh-CN" w:bidi="ar-SA"/>
        </w:rPr>
      </w:pPr>
      <w:r>
        <w:rPr>
          <w:rFonts w:hint="eastAsia" w:ascii="仿宋" w:hAnsi="仿宋" w:eastAsia="仿宋" w:cs="Arial"/>
          <w:kern w:val="0"/>
          <w:sz w:val="32"/>
          <w:szCs w:val="32"/>
          <w:lang w:val="en-US" w:eastAsia="zh-CN" w:bidi="ar-SA"/>
        </w:rPr>
        <w:t>12.原第二十六条“供水单位安排未取得有效健康合格证明的人员或者患有影响生活饮用水卫生安全疾病的人员、病原携带者直接从事生活饮用水供、管水工作的，由卫生计生行政部门责令改正，并处以一万元以下罚款。”修改为第二十五条“供水单位安排未取得有效健康合格证明的人员或者患有影响生活饮用水卫生安全疾病的人员、病原携带者直接从事生活饮用水供、管水工作的，由卫生健康行政部门责令改正，并可对供水单位处以二十元以上一千元以下的罚款。”。</w:t>
      </w:r>
      <w:r>
        <w:rPr>
          <w:rFonts w:hint="eastAsia" w:ascii="仿宋" w:hAnsi="仿宋" w:eastAsia="仿宋" w:cs="Arial"/>
          <w:kern w:val="0"/>
          <w:sz w:val="32"/>
          <w:szCs w:val="32"/>
          <w:lang w:val="en-US" w:eastAsia="zh-CN" w:bidi="ar-SA"/>
        </w:rPr>
        <w:br w:type="textWrapping"/>
      </w:r>
      <w:r>
        <w:rPr>
          <w:rFonts w:hint="eastAsia" w:ascii="仿宋" w:hAnsi="仿宋" w:eastAsia="仿宋" w:cs="Arial"/>
          <w:kern w:val="0"/>
          <w:sz w:val="32"/>
          <w:szCs w:val="32"/>
          <w:lang w:val="en-US" w:eastAsia="zh-CN" w:bidi="ar-SA"/>
        </w:rPr>
        <w:t xml:space="preserve">    13.原第二十七条“违反本办法规定，有下列行为之一的，由卫生计生行政部门责令限期改正，并可处以五千元以下罚款；逾期不改正的，视情节轻重，处以五千元以上三万元以下罚款：（一）集中式供水单位、二次供水设施管理单位未取得卫生许可证擅自供水的；（二）供水单位供应的生活饮用水水质不符合生活饮用水卫生标准的；（三）供水单位使用不符合规定要求的涉水产品、消毒产品的；（四）集中式供水单位未按照要求配备消毒设施设备对供应的饮用水进行消毒，或者消毒设施不能正常运转的；（五）二次供水设施管理单位未按照本办法第十二条规定对储水设施进行清洗消毒的；（六）现制现售饮用水经营者未按要求更换水处理材料的；（七）供水单位未按照本办法要求对所供水质进行检测的。”修改为第二十六条“ 违反本办法规定，有下列行为之一的，由卫生健康行政部门责令限期改正，并可处以五千元以下罚款：（一）二次供水设施管理单位未取得卫生许可证擅自供水的；（二）现制现售饮用水经营者供应的现制现售饮用水水质不符合生活饮用水卫生标准的；（三）供水单位使用不符合规定要求的涉水产品、消毒产品的；（四）集中式供水单位未按照要求配备消毒设施设备对供应的饮用水进行消毒，或者消毒设施不能正常运转的；（五）二次供水设施管理单位未按照本办法第十二条规定对储水设施进行清洗消毒的；（六）现制现售饮用水经营者未按要求更换水处理材料的；（七）现制现售饮用水经营者未按照本办法要求对所供水质进行检测的。”。</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14.原</w:t>
      </w:r>
      <w:r>
        <w:rPr>
          <w:rFonts w:hint="eastAsia" w:ascii="仿宋" w:hAnsi="仿宋" w:eastAsia="仿宋" w:cs="宋体"/>
          <w:color w:val="000000" w:themeColor="text1"/>
          <w:sz w:val="32"/>
          <w:szCs w:val="32"/>
          <w14:textFill>
            <w14:solidFill>
              <w14:schemeClr w14:val="tx1"/>
            </w14:solidFill>
          </w14:textFill>
        </w:rPr>
        <w:t>第二十八条</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供水单位违反本办法规定，有下列行为之一的，由卫生计生行政部门责令限期改正；逾期不改正的，处以三千元以下罚款；情节严重的，处以三千元以上二万元以下罚款</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（一）集中式供水单位、二次供水设施管理单位未采取基本卫生防护防范措施的；（二）未按照本办法规定进行信息公示，或者不如实公示信息的。</w:t>
      </w:r>
      <w:r>
        <w:rPr>
          <w:rFonts w:hint="eastAsia" w:ascii="仿宋" w:hAnsi="仿宋" w:eastAsia="仿宋" w:cs="宋体"/>
          <w:color w:val="000000" w:themeColor="text1"/>
          <w:sz w:val="32"/>
          <w:szCs w:val="32"/>
          <w:lang w:eastAsia="zh-CN"/>
          <w14:textFill>
            <w14:solidFill>
              <w14:schemeClr w14:val="tx1"/>
            </w14:solidFill>
          </w14:textFill>
        </w:rPr>
        <w:t>”修改为第二十七条“</w:t>
      </w:r>
      <w:r>
        <w:rPr>
          <w:rFonts w:hint="eastAsia" w:ascii="仿宋" w:hAnsi="仿宋" w:eastAsia="仿宋" w:cs="宋体"/>
          <w:color w:val="000000" w:themeColor="text1"/>
          <w:sz w:val="32"/>
          <w:szCs w:val="32"/>
          <w14:textFill>
            <w14:solidFill>
              <w14:schemeClr w14:val="tx1"/>
            </w14:solidFill>
          </w14:textFill>
        </w:rPr>
        <w:t>供水单位违反本办法规定，有下列行为之一的，由卫生健康行政部门责令限期改正,给予警告；逾期不改正的，处以三千元以下罚款；情节严重的，处以三千元以上二万元以下罚款：（一）集中式供水单位、二次供水设施管理单位未采取基本卫生防护防范措施的；（二）未按照本办法规定进行信息公示，或者不如实公示信息的。</w:t>
      </w:r>
      <w:r>
        <w:rPr>
          <w:rFonts w:hint="eastAsia" w:ascii="仿宋" w:hAnsi="仿宋" w:eastAsia="仿宋" w:cs="宋体"/>
          <w:color w:val="000000" w:themeColor="text1"/>
          <w:sz w:val="32"/>
          <w:szCs w:val="32"/>
          <w:lang w:eastAsia="zh-CN"/>
          <w14:textFill>
            <w14:solidFill>
              <w14:schemeClr w14:val="tx1"/>
            </w14:solidFill>
          </w14:textFill>
        </w:rPr>
        <w:t>”。</w:t>
      </w:r>
    </w:p>
    <w:p>
      <w:pPr>
        <w:keepNext w:val="0"/>
        <w:keepLines w:val="0"/>
        <w:pageBreakBefore w:val="0"/>
        <w:widowControl/>
        <w:suppressLineNumbers w:val="0"/>
        <w:shd w:val="clear" w:fill="FFFFFF"/>
        <w:kinsoku/>
        <w:wordWrap w:val="0"/>
        <w:overflowPunct/>
        <w:topLinePunct w:val="0"/>
        <w:autoSpaceDE/>
        <w:autoSpaceDN/>
        <w:bidi w:val="0"/>
        <w:adjustRightInd/>
        <w:snapToGrid w:val="0"/>
        <w:spacing w:line="560" w:lineRule="exact"/>
        <w:ind w:left="0" w:firstLine="420" w:firstLineChars="200"/>
        <w:jc w:val="left"/>
        <w:textAlignment w:val="auto"/>
        <w:rPr>
          <w:rFonts w:hint="eastAsia" w:ascii="仿宋" w:hAnsi="仿宋" w:eastAsia="仿宋" w:cs="宋体"/>
          <w:color w:val="000000" w:themeColor="text1"/>
          <w:sz w:val="32"/>
          <w:szCs w:val="32"/>
          <w:lang w:eastAsia="zh-CN"/>
          <w14:textFill>
            <w14:solidFill>
              <w14:schemeClr w14:val="tx1"/>
            </w14:solidFill>
          </w14:textFill>
        </w:rPr>
      </w:pPr>
      <w:r>
        <w:rPr>
          <w:rFonts w:hint="eastAsia" w:ascii="宋体" w:hAnsi="宋体" w:eastAsia="宋体" w:cs="宋体"/>
          <w:i w:val="0"/>
          <w:caps w:val="0"/>
          <w:color w:val="000000"/>
          <w:spacing w:val="0"/>
          <w:sz w:val="21"/>
          <w:szCs w:val="21"/>
          <w:shd w:val="clear" w:fill="FFFFFF"/>
        </w:rPr>
        <w:t>　</w:t>
      </w:r>
      <w:r>
        <w:rPr>
          <w:rFonts w:hint="eastAsia" w:ascii="仿宋" w:hAnsi="仿宋" w:eastAsia="仿宋" w:cs="宋体"/>
          <w:color w:val="000000" w:themeColor="text1"/>
          <w:sz w:val="32"/>
          <w:szCs w:val="32"/>
          <w:lang w:val="en-US" w:eastAsia="zh-CN"/>
          <w14:textFill>
            <w14:solidFill>
              <w14:schemeClr w14:val="tx1"/>
            </w14:solidFill>
          </w14:textFill>
        </w:rPr>
        <w:t>15.原</w:t>
      </w:r>
      <w:r>
        <w:rPr>
          <w:rFonts w:hint="eastAsia" w:ascii="仿宋" w:hAnsi="仿宋" w:eastAsia="仿宋" w:cs="宋体"/>
          <w:color w:val="000000" w:themeColor="text1"/>
          <w:sz w:val="32"/>
          <w:szCs w:val="32"/>
          <w14:textFill>
            <w14:solidFill>
              <w14:schemeClr w14:val="tx1"/>
            </w14:solidFill>
          </w14:textFill>
        </w:rPr>
        <w:t>第二十九条</w:t>
      </w:r>
      <w:r>
        <w:rPr>
          <w:rFonts w:hint="eastAsia" w:ascii="仿宋" w:hAnsi="仿宋" w:eastAsia="仿宋" w:cs="宋体"/>
          <w:color w:val="000000" w:themeColor="text1"/>
          <w:sz w:val="32"/>
          <w:szCs w:val="32"/>
          <w:lang w:eastAsia="zh-CN"/>
          <w14:textFill>
            <w14:solidFill>
              <w14:schemeClr w14:val="tx1"/>
            </w14:solidFill>
          </w14:textFill>
        </w:rPr>
        <w:t>“未</w:t>
      </w:r>
      <w:r>
        <w:rPr>
          <w:rFonts w:hint="default" w:ascii="仿宋" w:hAnsi="仿宋" w:eastAsia="仿宋" w:cs="宋体"/>
          <w:color w:val="auto"/>
          <w:kern w:val="0"/>
          <w:sz w:val="32"/>
          <w:szCs w:val="32"/>
          <w:lang w:val="en-US" w:eastAsia="zh-CN" w:bidi="ar-SA"/>
        </w:rPr>
        <w:t>取得工商营业执照从事现制现售饮用水经营的，由工商行政部门依法予以取缔。违反本办法规定，未办理特种用水合法手续从事现制现售饮用水经营的，由城市管理行政执法部门、水行政主管部门依照各自职责分别予以查处。现制现售饮用水经营者对产生的尾水未按规定回收利用的，由城市管理行政执法部门、水行政主管部门按照分工依照《山东省节约用水办法》第三十四条予以查处。未经城市管理部门批准，擅自在城市道路两侧公共场地等部位安装现制现售饮用水经营设备的，由城市管理行政执法部门依法予以查处。</w:t>
      </w:r>
      <w:r>
        <w:rPr>
          <w:rFonts w:hint="eastAsia" w:ascii="仿宋" w:hAnsi="仿宋" w:eastAsia="仿宋" w:cs="宋体"/>
          <w:color w:val="000000" w:themeColor="text1"/>
          <w:sz w:val="32"/>
          <w:szCs w:val="32"/>
          <w:lang w:eastAsia="zh-CN"/>
          <w14:textFill>
            <w14:solidFill>
              <w14:schemeClr w14:val="tx1"/>
            </w14:solidFill>
          </w14:textFill>
        </w:rPr>
        <w:t>”修改为第二十八条“</w:t>
      </w:r>
      <w:r>
        <w:rPr>
          <w:rFonts w:hint="eastAsia" w:ascii="仿宋" w:hAnsi="仿宋" w:eastAsia="仿宋" w:cs="宋体"/>
          <w:color w:val="auto"/>
          <w:sz w:val="32"/>
          <w:szCs w:val="32"/>
        </w:rPr>
        <w:t>未取得营业执照从事现制现售饮用水经营的，由市场监督管理部门依法予以取缔。现制现售饮用水经营者对产生的尾水未按规定回收利用的，由</w:t>
      </w:r>
      <w:r>
        <w:rPr>
          <w:rFonts w:hint="eastAsia" w:ascii="仿宋" w:hAnsi="仿宋" w:eastAsia="仿宋" w:cs="宋体"/>
          <w:color w:val="auto"/>
          <w:sz w:val="32"/>
          <w:szCs w:val="32"/>
          <w:lang w:eastAsia="zh-CN"/>
        </w:rPr>
        <w:t>城乡水务主管部门</w:t>
      </w:r>
      <w:r>
        <w:rPr>
          <w:rFonts w:hint="eastAsia" w:ascii="仿宋" w:hAnsi="仿宋" w:eastAsia="仿宋" w:cs="宋体"/>
          <w:color w:val="auto"/>
          <w:sz w:val="32"/>
          <w:szCs w:val="32"/>
        </w:rPr>
        <w:t>依照《山东省节约用水办法》第三十四条予以查处。未经城市管理部门批准，擅自在城市道路两侧公共场地等部位安装现制现售饮用水经营设备的，由城市管理部门依法予以查处。</w:t>
      </w:r>
      <w:r>
        <w:rPr>
          <w:rFonts w:hint="eastAsia" w:ascii="仿宋" w:hAnsi="仿宋" w:eastAsia="仿宋" w:cs="宋体"/>
          <w:color w:val="000000" w:themeColor="text1"/>
          <w:sz w:val="32"/>
          <w:szCs w:val="32"/>
          <w:lang w:eastAsia="zh-CN"/>
          <w14:textFill>
            <w14:solidFill>
              <w14:schemeClr w14:val="tx1"/>
            </w14:solidFill>
          </w14:textFill>
        </w:rPr>
        <w:t>”。</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eastAsia" w:ascii="仿宋" w:hAnsi="仿宋" w:eastAsia="仿宋" w:cs="宋体"/>
          <w:color w:val="auto"/>
          <w:sz w:val="32"/>
          <w:szCs w:val="32"/>
          <w:lang w:eastAsia="zh-CN"/>
        </w:rPr>
      </w:pPr>
      <w:r>
        <w:rPr>
          <w:rFonts w:hint="eastAsia" w:ascii="仿宋" w:hAnsi="仿宋" w:eastAsia="仿宋" w:cs="宋体"/>
          <w:color w:val="000000" w:themeColor="text1"/>
          <w:sz w:val="32"/>
          <w:szCs w:val="32"/>
          <w:lang w:val="en-US" w:eastAsia="zh-CN"/>
          <w14:textFill>
            <w14:solidFill>
              <w14:schemeClr w14:val="tx1"/>
            </w14:solidFill>
          </w14:textFill>
        </w:rPr>
        <w:t>16.原</w:t>
      </w:r>
      <w:r>
        <w:rPr>
          <w:rFonts w:hint="eastAsia" w:ascii="仿宋" w:hAnsi="仿宋" w:eastAsia="仿宋" w:cs="宋体"/>
          <w:color w:val="000000" w:themeColor="text1"/>
          <w:sz w:val="32"/>
          <w:szCs w:val="32"/>
          <w14:textFill>
            <w14:solidFill>
              <w14:schemeClr w14:val="tx1"/>
            </w14:solidFill>
          </w14:textFill>
        </w:rPr>
        <w:t>第三十条</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违反本办法第八条、第九条、第十三条、第十五条、第二十二条等规定影响生活饮用水卫生安全的，由卫生计生、城市供水、水行政、工商行政管理（市场监管）、环境保护、城市管理等部门纳入企业信用管理体系，视情节轻重认定失信等级，发放重点监督警示，各执法部门实施联动机制予以相应惩戒。上述部门应当按照职责分工加强日常巡查监督管理，及时制止纠正和依法查处供水单位的违法行为，发现属于其他部门监管职责的违法违规行为，应当及时告知相关部门。各执法部门可以根据管理需要，将行政检查、行政处罚、失信等级等执法处理结果在其经营场所醒目位置或者以其他方式向社会公示。</w:t>
      </w:r>
      <w:r>
        <w:rPr>
          <w:rFonts w:hint="eastAsia" w:ascii="仿宋" w:hAnsi="仿宋" w:eastAsia="仿宋" w:cs="宋体"/>
          <w:color w:val="000000" w:themeColor="text1"/>
          <w:sz w:val="32"/>
          <w:szCs w:val="32"/>
          <w:lang w:eastAsia="zh-CN"/>
          <w14:textFill>
            <w14:solidFill>
              <w14:schemeClr w14:val="tx1"/>
            </w14:solidFill>
          </w14:textFill>
        </w:rPr>
        <w:t>”修改为第二十九条“</w:t>
      </w:r>
      <w:r>
        <w:rPr>
          <w:rFonts w:hint="eastAsia" w:ascii="仿宋" w:hAnsi="仿宋" w:eastAsia="仿宋" w:cs="宋体"/>
          <w:color w:val="auto"/>
          <w:sz w:val="32"/>
          <w:szCs w:val="32"/>
        </w:rPr>
        <w:t>违反本办法第九条、第十三条、第十五条、第二十</w:t>
      </w:r>
      <w:r>
        <w:rPr>
          <w:rFonts w:hint="eastAsia" w:ascii="仿宋" w:hAnsi="仿宋" w:eastAsia="仿宋" w:cs="宋体"/>
          <w:color w:val="auto"/>
          <w:sz w:val="32"/>
          <w:szCs w:val="32"/>
          <w:lang w:eastAsia="zh-CN"/>
        </w:rPr>
        <w:t>一</w:t>
      </w:r>
      <w:r>
        <w:rPr>
          <w:rFonts w:hint="eastAsia" w:ascii="仿宋" w:hAnsi="仿宋" w:eastAsia="仿宋" w:cs="宋体"/>
          <w:color w:val="auto"/>
          <w:sz w:val="32"/>
          <w:szCs w:val="32"/>
        </w:rPr>
        <w:t>条等规定影响生活饮用水卫生安全的，由卫生</w:t>
      </w:r>
      <w:r>
        <w:rPr>
          <w:rFonts w:hint="eastAsia" w:ascii="仿宋" w:hAnsi="仿宋" w:eastAsia="仿宋" w:cs="宋体"/>
          <w:color w:val="auto"/>
          <w:sz w:val="32"/>
          <w:szCs w:val="32"/>
          <w:lang w:eastAsia="zh-CN"/>
        </w:rPr>
        <w:t>健康</w:t>
      </w:r>
      <w:r>
        <w:rPr>
          <w:rFonts w:hint="eastAsia" w:ascii="仿宋" w:hAnsi="仿宋" w:eastAsia="仿宋" w:cs="宋体"/>
          <w:color w:val="auto"/>
          <w:sz w:val="32"/>
          <w:szCs w:val="32"/>
        </w:rPr>
        <w:t>、</w:t>
      </w:r>
      <w:r>
        <w:rPr>
          <w:rFonts w:hint="eastAsia" w:ascii="仿宋" w:hAnsi="仿宋" w:eastAsia="仿宋" w:cs="宋体"/>
          <w:color w:val="auto"/>
          <w:sz w:val="32"/>
          <w:szCs w:val="32"/>
          <w:lang w:eastAsia="zh-CN"/>
        </w:rPr>
        <w:t>城乡水务</w:t>
      </w:r>
      <w:r>
        <w:rPr>
          <w:rFonts w:hint="eastAsia" w:ascii="仿宋" w:hAnsi="仿宋" w:eastAsia="仿宋" w:cs="宋体"/>
          <w:color w:val="auto"/>
          <w:sz w:val="32"/>
          <w:szCs w:val="32"/>
        </w:rPr>
        <w:t>、</w:t>
      </w:r>
      <w:r>
        <w:rPr>
          <w:rFonts w:hint="eastAsia" w:ascii="仿宋" w:hAnsi="仿宋" w:eastAsia="仿宋" w:cs="宋体"/>
          <w:color w:val="auto"/>
          <w:sz w:val="32"/>
          <w:szCs w:val="32"/>
          <w:lang w:eastAsia="zh-CN"/>
        </w:rPr>
        <w:t>市场监督管理</w:t>
      </w:r>
      <w:r>
        <w:rPr>
          <w:rFonts w:hint="eastAsia" w:ascii="仿宋" w:hAnsi="仿宋" w:eastAsia="仿宋" w:cs="宋体"/>
          <w:color w:val="auto"/>
          <w:sz w:val="32"/>
          <w:szCs w:val="32"/>
        </w:rPr>
        <w:t>、环境保护、城市管理等部门纳入企业信用管理体系，视情节轻重认定失信等级，发放重点监督警示，各执法部门实施联动机制予以相应惩戒。上述部门应当按照职责分工加强日常巡查监督管理，及时制止纠正和依法查处供水单位的违法行为，发现属于其他部门监管职责的违法违规行为，应当及时告知相关部门。各执法部门可以根据管理需要，将行政检查、行政处罚、失信等级等执法处理结果在其经营场所醒目位置或者以其他方式向社会公示。</w:t>
      </w:r>
      <w:r>
        <w:rPr>
          <w:rFonts w:hint="eastAsia" w:ascii="仿宋" w:hAnsi="仿宋" w:eastAsia="仿宋" w:cs="宋体"/>
          <w:color w:val="auto"/>
          <w:sz w:val="32"/>
          <w:szCs w:val="32"/>
          <w:lang w:eastAsia="zh-CN"/>
        </w:rPr>
        <w:t>”。</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ascii="仿宋" w:hAnsi="仿宋" w:eastAsia="仿宋" w:cs="仿宋"/>
          <w:sz w:val="32"/>
          <w:szCs w:val="32"/>
        </w:rPr>
      </w:pPr>
      <w:r>
        <w:rPr>
          <w:rFonts w:hint="eastAsia" w:ascii="仿宋" w:hAnsi="仿宋" w:eastAsia="仿宋" w:cs="宋体"/>
          <w:color w:val="000000" w:themeColor="text1"/>
          <w:sz w:val="32"/>
          <w:szCs w:val="32"/>
          <w:lang w:val="en-US" w:eastAsia="zh-CN"/>
          <w14:textFill>
            <w14:solidFill>
              <w14:schemeClr w14:val="tx1"/>
            </w14:solidFill>
          </w14:textFill>
        </w:rPr>
        <w:t>17.原</w:t>
      </w:r>
      <w:r>
        <w:rPr>
          <w:rFonts w:hint="eastAsia" w:ascii="仿宋" w:hAnsi="仿宋" w:eastAsia="仿宋" w:cs="宋体"/>
          <w:color w:val="000000" w:themeColor="text1"/>
          <w:sz w:val="32"/>
          <w:szCs w:val="32"/>
          <w14:textFill>
            <w14:solidFill>
              <w14:schemeClr w14:val="tx1"/>
            </w14:solidFill>
          </w14:textFill>
        </w:rPr>
        <w:t>第三十</w:t>
      </w:r>
      <w:r>
        <w:rPr>
          <w:rFonts w:hint="eastAsia" w:ascii="仿宋" w:hAnsi="仿宋" w:eastAsia="仿宋" w:cs="宋体"/>
          <w:color w:val="000000" w:themeColor="text1"/>
          <w:sz w:val="32"/>
          <w:szCs w:val="32"/>
          <w:lang w:eastAsia="zh-CN"/>
          <w14:textFill>
            <w14:solidFill>
              <w14:schemeClr w14:val="tx1"/>
            </w14:solidFill>
          </w14:textFill>
        </w:rPr>
        <w:t>三</w:t>
      </w:r>
      <w:r>
        <w:rPr>
          <w:rFonts w:hint="eastAsia" w:ascii="仿宋" w:hAnsi="仿宋" w:eastAsia="仿宋" w:cs="宋体"/>
          <w:color w:val="000000" w:themeColor="text1"/>
          <w:sz w:val="32"/>
          <w:szCs w:val="32"/>
          <w14:textFill>
            <w14:solidFill>
              <w14:schemeClr w14:val="tx1"/>
            </w14:solidFill>
          </w14:textFill>
        </w:rPr>
        <w:t>条</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政府有关部门及其工作人员玩忽职守、滥用职权、徇私舞弊的，由市、</w:t>
      </w:r>
      <w:r>
        <w:rPr>
          <w:rFonts w:hint="eastAsia" w:ascii="仿宋" w:hAnsi="仿宋" w:eastAsia="仿宋" w:cs="宋体"/>
          <w:color w:val="000000" w:themeColor="text1"/>
          <w:sz w:val="32"/>
          <w:szCs w:val="32"/>
          <w:lang w:eastAsia="zh-CN"/>
          <w14:textFill>
            <w14:solidFill>
              <w14:schemeClr w14:val="tx1"/>
            </w14:solidFill>
          </w14:textFill>
        </w:rPr>
        <w:t>县区</w:t>
      </w:r>
      <w:r>
        <w:rPr>
          <w:rFonts w:hint="eastAsia" w:ascii="仿宋" w:hAnsi="仿宋" w:eastAsia="仿宋" w:cs="宋体"/>
          <w:color w:val="000000" w:themeColor="text1"/>
          <w:sz w:val="32"/>
          <w:szCs w:val="32"/>
          <w14:textFill>
            <w14:solidFill>
              <w14:schemeClr w14:val="tx1"/>
            </w14:solidFill>
          </w14:textFill>
        </w:rPr>
        <w:t>人民政府或者有关部门责令改正；情节严重的，依法给予处分；构成犯罪的，依法追究刑事责任。</w:t>
      </w:r>
      <w:r>
        <w:rPr>
          <w:rFonts w:hint="eastAsia" w:ascii="仿宋" w:hAnsi="仿宋" w:eastAsia="仿宋" w:cs="宋体"/>
          <w:color w:val="000000" w:themeColor="text1"/>
          <w:sz w:val="32"/>
          <w:szCs w:val="32"/>
          <w:lang w:eastAsia="zh-CN"/>
          <w14:textFill>
            <w14:solidFill>
              <w14:schemeClr w14:val="tx1"/>
            </w14:solidFill>
          </w14:textFill>
        </w:rPr>
        <w:t>”修改为“</w:t>
      </w:r>
      <w:r>
        <w:rPr>
          <w:rFonts w:hint="eastAsia" w:ascii="仿宋" w:hAnsi="仿宋" w:eastAsia="仿宋" w:cs="宋体"/>
          <w:color w:val="000000" w:themeColor="text1"/>
          <w:sz w:val="32"/>
          <w:szCs w:val="32"/>
          <w14:textFill>
            <w14:solidFill>
              <w14:schemeClr w14:val="tx1"/>
            </w14:solidFill>
          </w14:textFill>
        </w:rPr>
        <w:t>政府有关部门及其工作人员玩忽职守、滥用职权、徇私舞弊的，由市、</w:t>
      </w:r>
      <w:r>
        <w:rPr>
          <w:rFonts w:hint="eastAsia" w:ascii="仿宋" w:hAnsi="仿宋" w:eastAsia="仿宋" w:cs="宋体"/>
          <w:color w:val="000000" w:themeColor="text1"/>
          <w:sz w:val="32"/>
          <w:szCs w:val="32"/>
          <w:lang w:eastAsia="zh-CN"/>
          <w14:textFill>
            <w14:solidFill>
              <w14:schemeClr w14:val="tx1"/>
            </w14:solidFill>
          </w14:textFill>
        </w:rPr>
        <w:t>区县</w:t>
      </w:r>
      <w:r>
        <w:rPr>
          <w:rFonts w:hint="eastAsia" w:ascii="仿宋" w:hAnsi="仿宋" w:eastAsia="仿宋" w:cs="宋体"/>
          <w:color w:val="000000" w:themeColor="text1"/>
          <w:sz w:val="32"/>
          <w:szCs w:val="32"/>
          <w14:textFill>
            <w14:solidFill>
              <w14:schemeClr w14:val="tx1"/>
            </w14:solidFill>
          </w14:textFill>
        </w:rPr>
        <w:t>人民政府或者有关部门责令改正；情节严重的，依法给予处分；构成犯罪的，依法追究刑事责任。</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lang w:val="en-US"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br w:type="textWrapping"/>
      </w:r>
      <w:r>
        <w:rPr>
          <w:rFonts w:hint="eastAsia" w:ascii="仿宋" w:hAnsi="仿宋" w:eastAsia="仿宋" w:cs="宋体"/>
          <w:color w:val="000000" w:themeColor="text1"/>
          <w:sz w:val="32"/>
          <w:szCs w:val="32"/>
          <w:lang w:val="en-US" w:eastAsia="zh-CN"/>
          <w14:textFill>
            <w14:solidFill>
              <w14:schemeClr w14:val="tx1"/>
            </w14:solidFill>
          </w14:textFill>
        </w:rPr>
        <w:t xml:space="preserve">    18.原</w:t>
      </w:r>
      <w:r>
        <w:rPr>
          <w:rFonts w:hint="eastAsia" w:ascii="仿宋" w:hAnsi="仿宋" w:eastAsia="仿宋" w:cs="宋体"/>
          <w:color w:val="000000" w:themeColor="text1"/>
          <w:sz w:val="32"/>
          <w:szCs w:val="32"/>
          <w14:textFill>
            <w14:solidFill>
              <w14:schemeClr w14:val="tx1"/>
            </w14:solidFill>
          </w14:textFill>
        </w:rPr>
        <w:t>第三十四条</w:t>
      </w:r>
      <w:r>
        <w:rPr>
          <w:rFonts w:hint="eastAsia" w:ascii="仿宋" w:hAnsi="仿宋" w:eastAsia="仿宋" w:cs="宋体"/>
          <w:color w:val="000000" w:themeColor="text1"/>
          <w:sz w:val="32"/>
          <w:szCs w:val="32"/>
          <w:lang w:eastAsia="zh-CN"/>
          <w14:textFill>
            <w14:solidFill>
              <w14:schemeClr w14:val="tx1"/>
            </w14:solidFill>
          </w14:textFill>
        </w:rPr>
        <w:t>第三款“</w:t>
      </w:r>
      <w:r>
        <w:rPr>
          <w:rFonts w:hint="eastAsia" w:ascii="仿宋" w:hAnsi="仿宋" w:eastAsia="仿宋" w:cs="宋体"/>
          <w:color w:val="000000" w:themeColor="text1"/>
          <w:sz w:val="32"/>
          <w:szCs w:val="32"/>
          <w14:textFill>
            <w14:solidFill>
              <w14:schemeClr w14:val="tx1"/>
            </w14:solidFill>
          </w14:textFill>
        </w:rPr>
        <w:t>本办法所称现制现售饮用水，是指通过水质处理器现场制作并直接散装供应的饮用水。</w:t>
      </w:r>
      <w:r>
        <w:rPr>
          <w:rFonts w:hint="eastAsia" w:ascii="仿宋" w:hAnsi="仿宋" w:eastAsia="仿宋" w:cs="宋体"/>
          <w:color w:val="000000" w:themeColor="text1"/>
          <w:sz w:val="32"/>
          <w:szCs w:val="32"/>
          <w:lang w:eastAsia="zh-CN"/>
          <w14:textFill>
            <w14:solidFill>
              <w14:schemeClr w14:val="tx1"/>
            </w14:solidFill>
          </w14:textFill>
        </w:rPr>
        <w:t>”修改为第三十三条“</w:t>
      </w:r>
      <w:r>
        <w:rPr>
          <w:rFonts w:hint="eastAsia" w:ascii="仿宋" w:hAnsi="仿宋" w:eastAsia="仿宋" w:cs="宋体"/>
          <w:color w:val="000000" w:themeColor="text1"/>
          <w:sz w:val="32"/>
          <w:szCs w:val="32"/>
          <w14:textFill>
            <w14:solidFill>
              <w14:schemeClr w14:val="tx1"/>
            </w14:solidFill>
          </w14:textFill>
        </w:rPr>
        <w:t>本办法所称现制现售饮用水，是指通过水质处理器现场制作并直接散装出售的饮用水。</w:t>
      </w:r>
      <w:r>
        <w:rPr>
          <w:rFonts w:hint="eastAsia" w:ascii="仿宋" w:hAnsi="仿宋" w:eastAsia="仿宋" w:cs="宋体"/>
          <w:color w:val="000000" w:themeColor="text1"/>
          <w:sz w:val="32"/>
          <w:szCs w:val="32"/>
          <w:lang w:eastAsia="zh-CN"/>
          <w14:textFill>
            <w14:solidFill>
              <w14:schemeClr w14:val="tx1"/>
            </w14:solidFill>
          </w14:textFill>
        </w:rPr>
        <w:t>”。</w:t>
      </w:r>
    </w:p>
    <w:sectPr>
      <w:pgSz w:w="11906" w:h="16838"/>
      <w:pgMar w:top="1383" w:right="1587" w:bottom="1383"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B7B0A"/>
    <w:multiLevelType w:val="singleLevel"/>
    <w:tmpl w:val="7FFB7B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A4A17"/>
    <w:rsid w:val="00016378"/>
    <w:rsid w:val="000D5628"/>
    <w:rsid w:val="00237F8A"/>
    <w:rsid w:val="002826F9"/>
    <w:rsid w:val="002E6E97"/>
    <w:rsid w:val="00481E3A"/>
    <w:rsid w:val="00645E1F"/>
    <w:rsid w:val="006461BA"/>
    <w:rsid w:val="0070370E"/>
    <w:rsid w:val="007801FB"/>
    <w:rsid w:val="00856588"/>
    <w:rsid w:val="008D5E30"/>
    <w:rsid w:val="00901503"/>
    <w:rsid w:val="00C31FCF"/>
    <w:rsid w:val="00CD60E5"/>
    <w:rsid w:val="00D43990"/>
    <w:rsid w:val="00E04899"/>
    <w:rsid w:val="00E15793"/>
    <w:rsid w:val="00E812F8"/>
    <w:rsid w:val="00EA373F"/>
    <w:rsid w:val="00F62B56"/>
    <w:rsid w:val="00F76E2D"/>
    <w:rsid w:val="00F826F1"/>
    <w:rsid w:val="11963B03"/>
    <w:rsid w:val="11AA4A17"/>
    <w:rsid w:val="15BA6F28"/>
    <w:rsid w:val="15F50BE7"/>
    <w:rsid w:val="1793626D"/>
    <w:rsid w:val="17A252C9"/>
    <w:rsid w:val="191925AC"/>
    <w:rsid w:val="1CEE3E7B"/>
    <w:rsid w:val="1FF79676"/>
    <w:rsid w:val="20786C88"/>
    <w:rsid w:val="23E92FC6"/>
    <w:rsid w:val="248413FE"/>
    <w:rsid w:val="2BCA5AD5"/>
    <w:rsid w:val="2DB106BE"/>
    <w:rsid w:val="31567994"/>
    <w:rsid w:val="32D84216"/>
    <w:rsid w:val="330216FA"/>
    <w:rsid w:val="3BBCCF51"/>
    <w:rsid w:val="3E6B0CDC"/>
    <w:rsid w:val="3EBFB6AB"/>
    <w:rsid w:val="3EEF04C6"/>
    <w:rsid w:val="3F5F909C"/>
    <w:rsid w:val="412F2766"/>
    <w:rsid w:val="43D13F52"/>
    <w:rsid w:val="45B434D1"/>
    <w:rsid w:val="485902D1"/>
    <w:rsid w:val="4DDA64DB"/>
    <w:rsid w:val="4FC7229F"/>
    <w:rsid w:val="53F6CD97"/>
    <w:rsid w:val="55BF6AEE"/>
    <w:rsid w:val="59FB340E"/>
    <w:rsid w:val="5B16088C"/>
    <w:rsid w:val="5CD05016"/>
    <w:rsid w:val="65BF2E5B"/>
    <w:rsid w:val="6FFAF371"/>
    <w:rsid w:val="707C6ED6"/>
    <w:rsid w:val="70890C6E"/>
    <w:rsid w:val="77EEE808"/>
    <w:rsid w:val="7A251E0F"/>
    <w:rsid w:val="7CA84C53"/>
    <w:rsid w:val="7CED1C96"/>
    <w:rsid w:val="7D7F5F8F"/>
    <w:rsid w:val="7EB65A9F"/>
    <w:rsid w:val="7EF7A701"/>
    <w:rsid w:val="7F1016B9"/>
    <w:rsid w:val="7FBFB6CF"/>
    <w:rsid w:val="7FDB142E"/>
    <w:rsid w:val="9CF626DE"/>
    <w:rsid w:val="B97C9F46"/>
    <w:rsid w:val="BB55AF6B"/>
    <w:rsid w:val="BCFF24B7"/>
    <w:rsid w:val="BEFD0B18"/>
    <w:rsid w:val="CD7F3486"/>
    <w:rsid w:val="DBDDE2E7"/>
    <w:rsid w:val="DDBFF725"/>
    <w:rsid w:val="DF9D56A6"/>
    <w:rsid w:val="DFB7683F"/>
    <w:rsid w:val="DFDF9B13"/>
    <w:rsid w:val="E3B44C70"/>
    <w:rsid w:val="E77F0A52"/>
    <w:rsid w:val="EFEEFC18"/>
    <w:rsid w:val="F2EC71B7"/>
    <w:rsid w:val="F55F6AEC"/>
    <w:rsid w:val="F5EF8D9C"/>
    <w:rsid w:val="F7F7A421"/>
    <w:rsid w:val="FBEFCDFA"/>
    <w:rsid w:val="FEFFBB24"/>
    <w:rsid w:val="FF7639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8">
    <w:name w:val="FollowedHyperlink"/>
    <w:basedOn w:val="7"/>
    <w:qFormat/>
    <w:uiPriority w:val="0"/>
    <w:rPr>
      <w:color w:val="000000"/>
      <w:sz w:val="18"/>
      <w:szCs w:val="18"/>
      <w:u w:val="none"/>
    </w:rPr>
  </w:style>
  <w:style w:type="character" w:styleId="9">
    <w:name w:val="Hyperlink"/>
    <w:basedOn w:val="7"/>
    <w:qFormat/>
    <w:uiPriority w:val="0"/>
    <w:rPr>
      <w:color w:val="000000"/>
      <w:sz w:val="18"/>
      <w:szCs w:val="18"/>
      <w:u w:val="none"/>
    </w:rPr>
  </w:style>
  <w:style w:type="character" w:styleId="10">
    <w:name w:val="annotation reference"/>
    <w:basedOn w:val="7"/>
    <w:qFormat/>
    <w:uiPriority w:val="0"/>
    <w:rPr>
      <w:sz w:val="21"/>
      <w:szCs w:val="21"/>
    </w:rPr>
  </w:style>
  <w:style w:type="character" w:customStyle="1" w:styleId="11">
    <w:name w:val="页眉 字符"/>
    <w:basedOn w:val="7"/>
    <w:link w:val="4"/>
    <w:qFormat/>
    <w:uiPriority w:val="0"/>
    <w:rPr>
      <w:kern w:val="2"/>
      <w:sz w:val="18"/>
      <w:szCs w:val="18"/>
    </w:rPr>
  </w:style>
  <w:style w:type="character" w:customStyle="1" w:styleId="12">
    <w:name w:val="页脚 字符"/>
    <w:basedOn w:val="7"/>
    <w:link w:val="3"/>
    <w:qFormat/>
    <w:uiPriority w:val="0"/>
    <w:rPr>
      <w:kern w:val="2"/>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359</Words>
  <Characters>2051</Characters>
  <Lines>17</Lines>
  <Paragraphs>4</Paragraphs>
  <TotalTime>4</TotalTime>
  <ScaleCrop>false</ScaleCrop>
  <LinksUpToDate>false</LinksUpToDate>
  <CharactersWithSpaces>2406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2021-03-30T21:14:00Z</dcterms:created>
  <dc:creator>Administrator</dc:creator>
  <cp:lastModifiedBy>weizaihu</cp:lastModifiedBy>
  <dcterms:modified xsi:type="dcterms:W3CDTF">2021-05-06T02:19:56Z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E0BAB8C2382F48928AA5933B97B9C448</vt:lpwstr>
  </property>
</Properties>
</file>