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济南市老年人高龄津贴发放管理实施细则</w:t>
      </w:r>
    </w:p>
    <w:p>
      <w:pPr>
        <w:widowControl/>
        <w:shd w:val="clear" w:color="auto" w:fill="FFFFFF"/>
        <w:spacing w:line="420" w:lineRule="atLeas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widowControl/>
        <w:shd w:val="clear" w:color="auto" w:fill="FFFFFF"/>
        <w:spacing w:before="159" w:beforeLines="50" w:after="159" w:afterLines="50" w:line="420"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  总  则</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第一条</w:t>
      </w:r>
      <w:r>
        <w:rPr>
          <w:rFonts w:hint="eastAsia" w:ascii="仿宋" w:hAnsi="仿宋" w:eastAsia="仿宋" w:cs="宋体"/>
          <w:color w:val="000000"/>
          <w:kern w:val="0"/>
          <w:sz w:val="32"/>
          <w:szCs w:val="32"/>
        </w:rPr>
        <w:t xml:space="preserve">  为规范我市老年人高龄津贴发放管理，完善我市高龄老人津贴制度，弘扬尊老、敬老传统美德，建设康养济南，结合本市实际，制定本实施细则。</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第二条</w:t>
      </w:r>
      <w:r>
        <w:rPr>
          <w:rFonts w:hint="eastAsia" w:ascii="仿宋" w:hAnsi="仿宋" w:eastAsia="仿宋" w:cs="宋体"/>
          <w:color w:val="000000"/>
          <w:kern w:val="0"/>
          <w:sz w:val="32"/>
          <w:szCs w:val="32"/>
        </w:rPr>
        <w:t>　高龄津贴发放工作遵循公开、公平、公正的原则。本市行政区域内80周岁及以上老年人高龄津贴发放管理适用本细则。</w:t>
      </w:r>
    </w:p>
    <w:p>
      <w:pPr>
        <w:widowControl/>
        <w:shd w:val="clear" w:color="auto" w:fill="FFFFFF"/>
        <w:spacing w:line="420" w:lineRule="atLeast"/>
        <w:ind w:firstLine="630"/>
        <w:jc w:val="left"/>
        <w:rPr>
          <w:rFonts w:ascii="仿宋" w:hAnsi="仿宋" w:eastAsia="仿宋" w:cs="宋体"/>
          <w:color w:val="FF0000"/>
          <w:kern w:val="0"/>
          <w:sz w:val="32"/>
          <w:szCs w:val="32"/>
        </w:rPr>
      </w:pPr>
      <w:r>
        <w:rPr>
          <w:rFonts w:hint="eastAsia" w:ascii="黑体" w:hAnsi="黑体" w:eastAsia="黑体" w:cs="宋体"/>
          <w:color w:val="000000"/>
          <w:kern w:val="0"/>
          <w:sz w:val="32"/>
          <w:szCs w:val="32"/>
        </w:rPr>
        <w:t>第三条</w:t>
      </w:r>
      <w:r>
        <w:rPr>
          <w:rFonts w:hint="eastAsia" w:ascii="仿宋" w:hAnsi="仿宋" w:eastAsia="仿宋" w:cs="宋体"/>
          <w:color w:val="000000"/>
          <w:kern w:val="0"/>
          <w:sz w:val="32"/>
          <w:szCs w:val="32"/>
        </w:rPr>
        <w:t xml:space="preserve">  </w:t>
      </w:r>
      <w:r>
        <w:rPr>
          <w:rFonts w:hint="eastAsia" w:ascii="仿宋" w:hAnsi="仿宋" w:eastAsia="仿宋" w:cs="宋体"/>
          <w:kern w:val="0"/>
          <w:sz w:val="32"/>
          <w:szCs w:val="32"/>
        </w:rPr>
        <w:t>老年人高龄津贴发放标准根据经济社会发展水平及物价等因素进行调整。</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第四条</w:t>
      </w:r>
      <w:r>
        <w:rPr>
          <w:rFonts w:hint="eastAsia" w:ascii="仿宋" w:hAnsi="仿宋" w:eastAsia="仿宋" w:cs="宋体"/>
          <w:color w:val="000000"/>
          <w:kern w:val="0"/>
          <w:sz w:val="32"/>
          <w:szCs w:val="32"/>
        </w:rPr>
        <w:t xml:space="preserve">  </w:t>
      </w:r>
      <w:r>
        <w:rPr>
          <w:rFonts w:hint="eastAsia" w:ascii="仿宋" w:hAnsi="仿宋" w:eastAsia="仿宋" w:cs="宋体"/>
          <w:kern w:val="0"/>
          <w:sz w:val="32"/>
          <w:szCs w:val="32"/>
        </w:rPr>
        <w:t>市卫生健康委主管本市老年人高龄津贴发放管理工作。区县卫生健康局负责本辖区高龄津贴的复核、批准、备案工作。街</w:t>
      </w:r>
      <w:r>
        <w:rPr>
          <w:rFonts w:hint="eastAsia" w:ascii="仿宋" w:hAnsi="仿宋" w:eastAsia="仿宋" w:cs="宋体"/>
          <w:kern w:val="0"/>
          <w:sz w:val="32"/>
          <w:szCs w:val="32"/>
          <w:lang w:eastAsia="zh-CN"/>
        </w:rPr>
        <w:t>道（</w:t>
      </w:r>
      <w:r>
        <w:rPr>
          <w:rFonts w:hint="eastAsia" w:ascii="仿宋" w:hAnsi="仿宋" w:eastAsia="仿宋" w:cs="宋体"/>
          <w:kern w:val="0"/>
          <w:sz w:val="32"/>
          <w:szCs w:val="32"/>
        </w:rPr>
        <w:t>镇</w:t>
      </w:r>
      <w:r>
        <w:rPr>
          <w:rFonts w:hint="eastAsia" w:ascii="仿宋" w:hAnsi="仿宋" w:eastAsia="仿宋" w:cs="宋体"/>
          <w:kern w:val="0"/>
          <w:sz w:val="32"/>
          <w:szCs w:val="32"/>
          <w:lang w:eastAsia="zh-CN"/>
        </w:rPr>
        <w:t>）</w:t>
      </w:r>
      <w:r>
        <w:rPr>
          <w:rFonts w:hint="eastAsia" w:ascii="仿宋" w:hAnsi="仿宋" w:eastAsia="仿宋" w:cs="宋体"/>
          <w:strike w:val="0"/>
          <w:dstrike w:val="0"/>
          <w:kern w:val="0"/>
          <w:sz w:val="32"/>
          <w:szCs w:val="32"/>
        </w:rPr>
        <w:t>老龄工作机构</w:t>
      </w:r>
      <w:r>
        <w:rPr>
          <w:rFonts w:hint="eastAsia" w:ascii="仿宋" w:hAnsi="仿宋" w:eastAsia="仿宋" w:cs="宋体"/>
          <w:kern w:val="0"/>
          <w:sz w:val="32"/>
          <w:szCs w:val="32"/>
        </w:rPr>
        <w:t>具体负责本辖区高龄津贴的数据采集、审核上报及发放。村（居）民委员会负责高龄津贴的申请受理、调查核实。财政部门负责资金的筹集拨付工作；公安、民政</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人</w:t>
      </w:r>
      <w:r>
        <w:rPr>
          <w:rFonts w:hint="eastAsia" w:ascii="仿宋" w:hAnsi="仿宋" w:eastAsia="仿宋" w:cs="宋体"/>
          <w:kern w:val="0"/>
          <w:sz w:val="32"/>
          <w:szCs w:val="32"/>
          <w:lang w:eastAsia="zh-CN"/>
        </w:rPr>
        <w:t>力资源社会保障</w:t>
      </w:r>
      <w:r>
        <w:rPr>
          <w:rFonts w:hint="eastAsia" w:ascii="仿宋" w:hAnsi="仿宋" w:eastAsia="仿宋" w:cs="宋体"/>
          <w:kern w:val="0"/>
          <w:sz w:val="32"/>
          <w:szCs w:val="32"/>
        </w:rPr>
        <w:t>、</w:t>
      </w:r>
      <w:r>
        <w:rPr>
          <w:rFonts w:hint="eastAsia" w:ascii="仿宋" w:hAnsi="仿宋" w:eastAsia="仿宋" w:cs="宋体"/>
          <w:color w:val="000000" w:themeColor="text1"/>
          <w:kern w:val="0"/>
          <w:sz w:val="32"/>
          <w:szCs w:val="32"/>
          <w:u w:val="none"/>
          <w:lang w:eastAsia="zh-CN"/>
          <w14:textFill>
            <w14:solidFill>
              <w14:schemeClr w14:val="tx1"/>
            </w14:solidFill>
          </w14:textFill>
        </w:rPr>
        <w:t>大数据</w:t>
      </w:r>
      <w:r>
        <w:rPr>
          <w:rFonts w:hint="eastAsia" w:ascii="仿宋" w:hAnsi="仿宋" w:eastAsia="仿宋" w:cs="宋体"/>
          <w:kern w:val="0"/>
          <w:sz w:val="32"/>
          <w:szCs w:val="32"/>
        </w:rPr>
        <w:t>等部门负责协助做好相关数据的采集、比对等工作；审计、监察部门做好高龄津贴资金的审计监督工作。</w:t>
      </w:r>
    </w:p>
    <w:p>
      <w:pPr>
        <w:widowControl/>
        <w:shd w:val="clear" w:color="auto" w:fill="FFFFFF"/>
        <w:spacing w:before="159" w:beforeLines="50" w:after="159" w:afterLines="50" w:line="420"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  高龄津贴的条件、标准及资金安排</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第五条</w:t>
      </w:r>
      <w:r>
        <w:rPr>
          <w:rFonts w:hint="eastAsia" w:ascii="仿宋" w:hAnsi="仿宋" w:eastAsia="仿宋" w:cs="宋体"/>
          <w:color w:val="000000"/>
          <w:kern w:val="0"/>
          <w:sz w:val="32"/>
          <w:szCs w:val="32"/>
        </w:rPr>
        <w:t xml:space="preserve">  享受高龄津贴的条件</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（一）具有本市户籍；</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（二）年满80</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89周岁且</w:t>
      </w:r>
      <w:r>
        <w:rPr>
          <w:rFonts w:hint="eastAsia" w:ascii="仿宋" w:hAnsi="仿宋" w:eastAsia="仿宋" w:cs="宋体"/>
          <w:strike w:val="0"/>
          <w:dstrike w:val="0"/>
          <w:color w:val="000000" w:themeColor="text1"/>
          <w:kern w:val="0"/>
          <w:sz w:val="32"/>
          <w:szCs w:val="32"/>
          <w:lang w:eastAsia="zh-CN"/>
          <w14:textFill>
            <w14:solidFill>
              <w14:schemeClr w14:val="tx1"/>
            </w14:solidFill>
          </w14:textFill>
        </w:rPr>
        <w:t>无离休金、职工养老保险待遇</w:t>
      </w:r>
      <w:r>
        <w:rPr>
          <w:rFonts w:hint="eastAsia" w:ascii="仿宋" w:hAnsi="仿宋" w:eastAsia="仿宋" w:cs="宋体"/>
          <w:color w:val="000000"/>
          <w:kern w:val="0"/>
          <w:sz w:val="32"/>
          <w:szCs w:val="32"/>
        </w:rPr>
        <w:t>的老年人；年满90周岁及以上的老年人。</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第六条</w:t>
      </w:r>
      <w:r>
        <w:rPr>
          <w:rFonts w:hint="eastAsia" w:ascii="仿宋" w:hAnsi="仿宋" w:eastAsia="仿宋" w:cs="宋体"/>
          <w:color w:val="000000"/>
          <w:kern w:val="0"/>
          <w:sz w:val="32"/>
          <w:szCs w:val="32"/>
        </w:rPr>
        <w:t xml:space="preserve">  高龄津贴发放标准：80</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89周岁</w:t>
      </w:r>
      <w:r>
        <w:rPr>
          <w:rFonts w:hint="eastAsia" w:ascii="仿宋" w:hAnsi="仿宋" w:eastAsia="仿宋" w:cs="宋体"/>
          <w:color w:val="000000"/>
          <w:kern w:val="0"/>
          <w:sz w:val="32"/>
          <w:szCs w:val="32"/>
          <w:lang w:eastAsia="zh-CN"/>
        </w:rPr>
        <w:t>（</w:t>
      </w:r>
      <w:r>
        <w:rPr>
          <w:rFonts w:hint="eastAsia" w:ascii="仿宋" w:hAnsi="仿宋" w:eastAsia="仿宋" w:cs="宋体"/>
          <w:strike w:val="0"/>
          <w:dstrike w:val="0"/>
          <w:color w:val="000000" w:themeColor="text1"/>
          <w:kern w:val="0"/>
          <w:sz w:val="32"/>
          <w:szCs w:val="32"/>
          <w:lang w:eastAsia="zh-CN"/>
          <w14:textFill>
            <w14:solidFill>
              <w14:schemeClr w14:val="tx1"/>
            </w14:solidFill>
          </w14:textFill>
        </w:rPr>
        <w:t>无离休金、职工养老保险待遇的</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每人每月100元；90</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99周岁每人每月200元；100周岁及以上每人每月500元。 </w:t>
      </w:r>
    </w:p>
    <w:p>
      <w:pPr>
        <w:widowControl/>
        <w:numPr>
          <w:ilvl w:val="0"/>
          <w:numId w:val="0"/>
        </w:numPr>
        <w:shd w:val="clear" w:color="auto" w:fill="FFFFFF"/>
        <w:spacing w:line="420" w:lineRule="atLeast"/>
        <w:ind w:firstLine="640" w:firstLineChars="200"/>
        <w:jc w:val="left"/>
        <w:rPr>
          <w:rFonts w:ascii="仿宋" w:hAnsi="仿宋" w:eastAsia="仿宋" w:cs="宋体"/>
          <w:color w:val="000000"/>
          <w:kern w:val="0"/>
          <w:sz w:val="32"/>
          <w:szCs w:val="32"/>
        </w:rPr>
      </w:pPr>
      <w:r>
        <w:rPr>
          <w:rFonts w:hint="eastAsia" w:ascii="黑体" w:hAnsi="黑体" w:eastAsia="黑体" w:cs="黑体"/>
          <w:kern w:val="0"/>
          <w:sz w:val="32"/>
          <w:szCs w:val="32"/>
          <w:lang w:eastAsia="zh-CN"/>
        </w:rPr>
        <w:t>第七条</w:t>
      </w:r>
      <w:r>
        <w:rPr>
          <w:rFonts w:hint="eastAsia" w:ascii="仿宋" w:hAnsi="仿宋" w:eastAsia="仿宋" w:cs="宋体"/>
          <w:kern w:val="0"/>
          <w:sz w:val="32"/>
          <w:szCs w:val="32"/>
          <w:lang w:val="en-US" w:eastAsia="zh-CN"/>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老年人高龄津贴资金由省、市、区财政负担，纳入财政年度预算。</w:t>
      </w:r>
    </w:p>
    <w:p>
      <w:pPr>
        <w:widowControl/>
        <w:shd w:val="clear" w:color="auto" w:fill="FFFFFF"/>
        <w:spacing w:before="159" w:beforeLines="50" w:after="159" w:afterLines="50" w:line="420"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 高龄津贴的申请、审批和发放</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第八条</w:t>
      </w:r>
      <w:r>
        <w:rPr>
          <w:rFonts w:hint="eastAsia" w:ascii="仿宋" w:hAnsi="仿宋" w:eastAsia="仿宋" w:cs="宋体"/>
          <w:color w:val="000000"/>
          <w:kern w:val="0"/>
          <w:sz w:val="32"/>
          <w:szCs w:val="32"/>
        </w:rPr>
        <w:t>　</w:t>
      </w:r>
      <w:r>
        <w:rPr>
          <w:rFonts w:hint="eastAsia" w:ascii="仿宋" w:hAnsi="仿宋" w:eastAsia="仿宋" w:cs="宋体"/>
          <w:kern w:val="0"/>
          <w:sz w:val="32"/>
          <w:szCs w:val="32"/>
        </w:rPr>
        <w:t>符合本细则第五条规定的老年人,由本</w:t>
      </w:r>
      <w:r>
        <w:rPr>
          <w:rFonts w:hint="eastAsia" w:ascii="仿宋" w:hAnsi="仿宋" w:eastAsia="仿宋" w:cs="宋体"/>
          <w:color w:val="000000"/>
          <w:kern w:val="0"/>
          <w:sz w:val="32"/>
          <w:szCs w:val="32"/>
        </w:rPr>
        <w:t>人或其代理人向户籍所在地的村（居）民委员会提出申请,并如实提供能够证明申请人身份、年龄及住址的有效证件。如是代理人提出申请，需提供可以证明与申请人关系的有效证件，并签字确认。</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黑体" w:hAnsi="黑体" w:eastAsia="黑体" w:cs="宋体"/>
          <w:kern w:val="0"/>
          <w:sz w:val="32"/>
          <w:szCs w:val="32"/>
        </w:rPr>
        <w:t>第九条</w:t>
      </w:r>
      <w:r>
        <w:rPr>
          <w:rFonts w:hint="eastAsia" w:ascii="仿宋" w:hAnsi="仿宋" w:eastAsia="仿宋" w:cs="宋体"/>
          <w:kern w:val="0"/>
          <w:sz w:val="32"/>
          <w:szCs w:val="32"/>
        </w:rPr>
        <w:t xml:space="preserve">  申报高龄津贴所需材料</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仿宋" w:hAnsi="仿宋" w:eastAsia="仿宋" w:cs="宋体"/>
          <w:kern w:val="0"/>
          <w:sz w:val="32"/>
          <w:szCs w:val="32"/>
        </w:rPr>
        <w:t>（一）申请登记表；</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仿宋" w:hAnsi="仿宋" w:eastAsia="仿宋" w:cs="宋体"/>
          <w:kern w:val="0"/>
          <w:sz w:val="32"/>
          <w:szCs w:val="32"/>
        </w:rPr>
        <w:t>（二）身份证原件及复印件；</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仿宋" w:hAnsi="仿宋" w:eastAsia="仿宋" w:cs="宋体"/>
          <w:kern w:val="0"/>
          <w:sz w:val="32"/>
          <w:szCs w:val="32"/>
        </w:rPr>
        <w:t>（三）户口簿原件及复印件（首页、索引页、申请人所在页）；</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仿宋" w:hAnsi="仿宋" w:eastAsia="仿宋" w:cs="宋体"/>
          <w:kern w:val="0"/>
          <w:sz w:val="32"/>
          <w:szCs w:val="32"/>
        </w:rPr>
        <w:t>（四）在指定银行开办的申请人账户原件及复印件。</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仿宋" w:hAnsi="仿宋" w:eastAsia="仿宋" w:cs="宋体"/>
          <w:kern w:val="0"/>
          <w:sz w:val="32"/>
          <w:szCs w:val="32"/>
        </w:rPr>
        <w:t>以上材料共一式三份，申请人、村（居）民委员会、街</w:t>
      </w:r>
      <w:r>
        <w:rPr>
          <w:rFonts w:hint="eastAsia" w:ascii="仿宋" w:hAnsi="仿宋" w:eastAsia="仿宋" w:cs="宋体"/>
          <w:kern w:val="0"/>
          <w:sz w:val="32"/>
          <w:szCs w:val="32"/>
          <w:lang w:eastAsia="zh-CN"/>
        </w:rPr>
        <w:t>道（</w:t>
      </w:r>
      <w:r>
        <w:rPr>
          <w:rFonts w:hint="eastAsia" w:ascii="仿宋" w:hAnsi="仿宋" w:eastAsia="仿宋" w:cs="宋体"/>
          <w:kern w:val="0"/>
          <w:sz w:val="32"/>
          <w:szCs w:val="32"/>
        </w:rPr>
        <w:t>镇</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各存一份。</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第十条</w:t>
      </w:r>
      <w:r>
        <w:rPr>
          <w:rFonts w:hint="eastAsia" w:ascii="仿宋" w:hAnsi="仿宋" w:eastAsia="仿宋" w:cs="宋体"/>
          <w:kern w:val="0"/>
          <w:sz w:val="32"/>
          <w:szCs w:val="32"/>
        </w:rPr>
        <w:t>　村（居）民委员会接到申请后,进行调查核实,并将申请人名单张榜公示7天无异议后,报街</w:t>
      </w:r>
      <w:r>
        <w:rPr>
          <w:rFonts w:hint="eastAsia" w:ascii="仿宋" w:hAnsi="仿宋" w:eastAsia="仿宋" w:cs="宋体"/>
          <w:kern w:val="0"/>
          <w:sz w:val="32"/>
          <w:szCs w:val="32"/>
          <w:lang w:eastAsia="zh-CN"/>
        </w:rPr>
        <w:t>道（</w:t>
      </w:r>
      <w:r>
        <w:rPr>
          <w:rFonts w:hint="eastAsia" w:ascii="仿宋" w:hAnsi="仿宋" w:eastAsia="仿宋" w:cs="宋体"/>
          <w:kern w:val="0"/>
          <w:sz w:val="32"/>
          <w:szCs w:val="32"/>
        </w:rPr>
        <w:t>镇</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审核; 街</w:t>
      </w:r>
      <w:r>
        <w:rPr>
          <w:rFonts w:hint="eastAsia" w:ascii="仿宋" w:hAnsi="仿宋" w:eastAsia="仿宋" w:cs="宋体"/>
          <w:kern w:val="0"/>
          <w:sz w:val="32"/>
          <w:szCs w:val="32"/>
          <w:lang w:eastAsia="zh-CN"/>
        </w:rPr>
        <w:t>道（</w:t>
      </w:r>
      <w:r>
        <w:rPr>
          <w:rFonts w:hint="eastAsia" w:ascii="仿宋" w:hAnsi="仿宋" w:eastAsia="仿宋" w:cs="宋体"/>
          <w:kern w:val="0"/>
          <w:sz w:val="32"/>
          <w:szCs w:val="32"/>
        </w:rPr>
        <w:t>镇</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审核后,报区县卫生健康局</w:t>
      </w:r>
      <w:r>
        <w:rPr>
          <w:rFonts w:hint="eastAsia" w:ascii="仿宋" w:hAnsi="仿宋" w:eastAsia="仿宋" w:cs="宋体"/>
          <w:kern w:val="0"/>
          <w:sz w:val="32"/>
          <w:szCs w:val="32"/>
          <w:lang w:eastAsia="zh-CN"/>
        </w:rPr>
        <w:t>，</w:t>
      </w:r>
      <w:r>
        <w:rPr>
          <w:rFonts w:hint="eastAsia" w:ascii="仿宋" w:hAnsi="仿宋" w:eastAsia="仿宋" w:cs="宋体"/>
          <w:color w:val="000000" w:themeColor="text1"/>
          <w:kern w:val="0"/>
          <w:sz w:val="32"/>
          <w:szCs w:val="32"/>
          <w:lang w:eastAsia="zh-CN"/>
          <w14:textFill>
            <w14:solidFill>
              <w14:schemeClr w14:val="tx1"/>
            </w14:solidFill>
          </w14:textFill>
        </w:rPr>
        <w:t>经过大数据比对后</w:t>
      </w:r>
      <w:r>
        <w:rPr>
          <w:rFonts w:hint="eastAsia" w:ascii="仿宋" w:hAnsi="仿宋" w:eastAsia="仿宋" w:cs="宋体"/>
          <w:kern w:val="0"/>
          <w:sz w:val="32"/>
          <w:szCs w:val="32"/>
        </w:rPr>
        <w:t>复核、批准、备案。对不符合条件的,由村（居）民委员会通知申</w:t>
      </w:r>
      <w:r>
        <w:rPr>
          <w:rFonts w:hint="eastAsia" w:ascii="仿宋" w:hAnsi="仿宋" w:eastAsia="仿宋" w:cs="宋体"/>
          <w:color w:val="000000"/>
          <w:kern w:val="0"/>
          <w:sz w:val="32"/>
          <w:szCs w:val="32"/>
        </w:rPr>
        <w:t>请人,并说明理由。</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黑体" w:hAnsi="黑体" w:eastAsia="黑体" w:cs="宋体"/>
          <w:kern w:val="0"/>
          <w:sz w:val="32"/>
          <w:szCs w:val="32"/>
        </w:rPr>
        <w:t>第十一条</w:t>
      </w:r>
      <w:r>
        <w:rPr>
          <w:rFonts w:hint="eastAsia" w:ascii="仿宋" w:hAnsi="仿宋" w:eastAsia="仿宋" w:cs="宋体"/>
          <w:kern w:val="0"/>
          <w:sz w:val="32"/>
          <w:szCs w:val="32"/>
        </w:rPr>
        <w:t>　高龄津贴享受时间的认定：高龄老人户籍一直在本市的，从其符合条件的当月起享受；户籍由外地迁入本市且符合条件的，从其户籍迁入本市的下月起开始享受。</w:t>
      </w:r>
    </w:p>
    <w:p>
      <w:pPr>
        <w:widowControl/>
        <w:shd w:val="clear" w:color="auto" w:fill="FFFFFF"/>
        <w:spacing w:line="420" w:lineRule="atLeast"/>
        <w:ind w:firstLine="630"/>
        <w:jc w:val="left"/>
        <w:rPr>
          <w:rFonts w:ascii="仿宋" w:hAnsi="仿宋" w:eastAsia="仿宋"/>
          <w:kern w:val="0"/>
          <w:sz w:val="32"/>
          <w:szCs w:val="32"/>
        </w:rPr>
      </w:pPr>
      <w:r>
        <w:rPr>
          <w:rFonts w:hint="eastAsia" w:ascii="黑体" w:hAnsi="黑体" w:eastAsia="黑体" w:cs="宋体"/>
          <w:color w:val="000000"/>
          <w:kern w:val="0"/>
          <w:sz w:val="32"/>
          <w:szCs w:val="32"/>
        </w:rPr>
        <w:t>第十二条</w:t>
      </w:r>
      <w:r>
        <w:rPr>
          <w:rFonts w:hint="eastAsia" w:ascii="仿宋" w:hAnsi="仿宋" w:eastAsia="仿宋"/>
          <w:kern w:val="0"/>
          <w:sz w:val="32"/>
          <w:szCs w:val="32"/>
        </w:rPr>
        <w:t xml:space="preserve">  </w:t>
      </w:r>
      <w:r>
        <w:rPr>
          <w:rFonts w:hint="eastAsia" w:ascii="仿宋" w:hAnsi="仿宋" w:eastAsia="仿宋" w:cs="宋体"/>
          <w:color w:val="000000"/>
          <w:kern w:val="0"/>
          <w:sz w:val="32"/>
          <w:szCs w:val="32"/>
        </w:rPr>
        <w:t>高龄津贴由各区县卫生健康局</w:t>
      </w:r>
      <w:r>
        <w:rPr>
          <w:rFonts w:hint="eastAsia" w:ascii="仿宋" w:hAnsi="仿宋" w:eastAsia="仿宋" w:cs="宋体"/>
          <w:kern w:val="0"/>
          <w:sz w:val="32"/>
          <w:szCs w:val="32"/>
        </w:rPr>
        <w:t>、街</w:t>
      </w:r>
      <w:r>
        <w:rPr>
          <w:rFonts w:hint="eastAsia" w:ascii="仿宋" w:hAnsi="仿宋" w:eastAsia="仿宋" w:cs="宋体"/>
          <w:kern w:val="0"/>
          <w:sz w:val="32"/>
          <w:szCs w:val="32"/>
          <w:lang w:eastAsia="zh-CN"/>
        </w:rPr>
        <w:t>道（</w:t>
      </w:r>
      <w:r>
        <w:rPr>
          <w:rFonts w:hint="eastAsia" w:ascii="仿宋" w:hAnsi="仿宋" w:eastAsia="仿宋" w:cs="宋体"/>
          <w:kern w:val="0"/>
          <w:sz w:val="32"/>
          <w:szCs w:val="32"/>
        </w:rPr>
        <w:t>镇</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根</w:t>
      </w:r>
      <w:r>
        <w:rPr>
          <w:rFonts w:hint="eastAsia" w:ascii="仿宋" w:hAnsi="仿宋" w:eastAsia="仿宋" w:cs="宋体"/>
          <w:color w:val="000000"/>
          <w:kern w:val="0"/>
          <w:sz w:val="32"/>
          <w:szCs w:val="32"/>
        </w:rPr>
        <w:t>据</w:t>
      </w:r>
      <w:r>
        <w:rPr>
          <w:rFonts w:hint="eastAsia" w:ascii="仿宋" w:hAnsi="仿宋" w:eastAsia="仿宋" w:cs="宋体"/>
          <w:color w:val="000000"/>
          <w:kern w:val="0"/>
          <w:sz w:val="32"/>
          <w:szCs w:val="32"/>
          <w:lang w:eastAsia="zh-CN"/>
        </w:rPr>
        <w:t>审</w:t>
      </w:r>
      <w:r>
        <w:rPr>
          <w:rFonts w:hint="eastAsia" w:ascii="仿宋" w:hAnsi="仿宋" w:eastAsia="仿宋" w:cs="宋体"/>
          <w:color w:val="000000"/>
          <w:kern w:val="0"/>
          <w:sz w:val="32"/>
          <w:szCs w:val="32"/>
        </w:rPr>
        <w:t>核后的享受待遇人数和标准</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采取“一人一折（卡）”方式委托金融机构按季度实行社会化发放。</w:t>
      </w:r>
    </w:p>
    <w:p>
      <w:pPr>
        <w:widowControl/>
        <w:shd w:val="clear" w:color="auto" w:fill="FFFFFF"/>
        <w:spacing w:line="420" w:lineRule="atLeast"/>
        <w:ind w:firstLine="630"/>
        <w:jc w:val="left"/>
        <w:rPr>
          <w:rFonts w:ascii="仿宋" w:hAnsi="仿宋" w:eastAsia="仿宋"/>
          <w:kern w:val="0"/>
          <w:sz w:val="32"/>
          <w:szCs w:val="32"/>
          <w:u w:val="none"/>
        </w:rPr>
      </w:pPr>
      <w:r>
        <w:rPr>
          <w:rFonts w:hint="eastAsia" w:ascii="黑体" w:hAnsi="黑体" w:eastAsia="黑体" w:cs="宋体"/>
          <w:color w:val="000000"/>
          <w:kern w:val="0"/>
          <w:sz w:val="32"/>
          <w:szCs w:val="32"/>
        </w:rPr>
        <w:t>第十三条</w:t>
      </w:r>
      <w:r>
        <w:rPr>
          <w:rFonts w:hint="eastAsia" w:ascii="仿宋" w:hAnsi="仿宋" w:eastAsia="仿宋"/>
          <w:sz w:val="32"/>
          <w:szCs w:val="32"/>
        </w:rPr>
        <w:t xml:space="preserve">  符合</w:t>
      </w:r>
      <w:r>
        <w:rPr>
          <w:rFonts w:hint="eastAsia" w:ascii="仿宋" w:hAnsi="仿宋" w:eastAsia="仿宋"/>
          <w:color w:val="000000" w:themeColor="text1"/>
          <w:sz w:val="32"/>
          <w:szCs w:val="32"/>
          <w14:textFill>
            <w14:solidFill>
              <w14:schemeClr w14:val="tx1"/>
            </w14:solidFill>
          </w14:textFill>
        </w:rPr>
        <w:t>条件的老年人未能按时领取高龄津贴的，需由本人提出书面补发申请，所在区县卫生健康局查明原因，经审核后给予补发，</w:t>
      </w:r>
      <w:r>
        <w:rPr>
          <w:rFonts w:hint="eastAsia" w:ascii="仿宋" w:hAnsi="仿宋" w:eastAsia="仿宋"/>
          <w:color w:val="000000" w:themeColor="text1"/>
          <w:sz w:val="32"/>
          <w:szCs w:val="32"/>
          <w:u w:val="none"/>
          <w14:textFill>
            <w14:solidFill>
              <w14:schemeClr w14:val="tx1"/>
            </w14:solidFill>
          </w14:textFill>
        </w:rPr>
        <w:t>补发时间不超过3年。</w:t>
      </w:r>
    </w:p>
    <w:p>
      <w:pPr>
        <w:widowControl/>
        <w:shd w:val="clear" w:color="auto" w:fill="FFFFFF"/>
        <w:spacing w:before="159" w:beforeLines="50" w:after="159" w:afterLines="50" w:line="420" w:lineRule="atLeast"/>
        <w:jc w:val="center"/>
        <w:rPr>
          <w:rFonts w:ascii="黑体" w:hAnsi="黑体" w:eastAsia="黑体" w:cs="宋体"/>
          <w:kern w:val="0"/>
          <w:sz w:val="32"/>
          <w:szCs w:val="32"/>
        </w:rPr>
      </w:pPr>
      <w:r>
        <w:rPr>
          <w:rFonts w:hint="eastAsia" w:ascii="黑体" w:hAnsi="黑体" w:eastAsia="黑体" w:cs="宋体"/>
          <w:kern w:val="0"/>
          <w:sz w:val="32"/>
          <w:szCs w:val="32"/>
        </w:rPr>
        <w:t>第四章  高龄津贴的变更与终止</w:t>
      </w:r>
    </w:p>
    <w:p>
      <w:pPr>
        <w:widowControl/>
        <w:shd w:val="clear" w:color="auto" w:fill="FFFFFF"/>
        <w:spacing w:line="420" w:lineRule="atLeast"/>
        <w:ind w:firstLine="630"/>
        <w:jc w:val="left"/>
        <w:rPr>
          <w:rFonts w:ascii="仿宋" w:hAnsi="仿宋" w:eastAsia="仿宋"/>
          <w:kern w:val="0"/>
          <w:sz w:val="32"/>
          <w:szCs w:val="32"/>
        </w:rPr>
      </w:pPr>
      <w:r>
        <w:rPr>
          <w:rFonts w:hint="eastAsia" w:ascii="黑体" w:hAnsi="黑体" w:eastAsia="黑体" w:cs="宋体"/>
          <w:kern w:val="0"/>
          <w:sz w:val="32"/>
          <w:szCs w:val="32"/>
        </w:rPr>
        <w:t>第十四条</w:t>
      </w:r>
      <w:r>
        <w:rPr>
          <w:rFonts w:hint="eastAsia" w:ascii="仿宋" w:hAnsi="仿宋" w:eastAsia="仿宋"/>
          <w:kern w:val="0"/>
          <w:sz w:val="32"/>
          <w:szCs w:val="32"/>
        </w:rPr>
        <w:t xml:space="preserve">  高龄津贴停发条件：享受高龄津贴的老年人户籍迁出本市的；死亡；其它需要停发的情况。</w:t>
      </w:r>
    </w:p>
    <w:p>
      <w:pPr>
        <w:widowControl/>
        <w:shd w:val="clear" w:color="auto" w:fill="FFFFFF"/>
        <w:spacing w:line="420" w:lineRule="atLeast"/>
        <w:ind w:firstLine="630"/>
        <w:jc w:val="left"/>
        <w:rPr>
          <w:rFonts w:ascii="仿宋" w:hAnsi="仿宋" w:eastAsia="仿宋"/>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第十五条</w:t>
      </w:r>
      <w:r>
        <w:rPr>
          <w:rFonts w:hint="eastAsia" w:ascii="仿宋" w:hAnsi="仿宋" w:eastAsia="仿宋"/>
          <w:color w:val="000000" w:themeColor="text1"/>
          <w:kern w:val="0"/>
          <w:sz w:val="32"/>
          <w:szCs w:val="32"/>
          <w14:textFill>
            <w14:solidFill>
              <w14:schemeClr w14:val="tx1"/>
            </w14:solidFill>
          </w14:textFill>
        </w:rPr>
        <w:t xml:space="preserve">  高龄津贴停发时间的认定：高龄老人户籍迁出本市或者死亡的，从次月起停发；其它情况根据实际情况认定。</w:t>
      </w:r>
    </w:p>
    <w:p>
      <w:pPr>
        <w:widowControl/>
        <w:shd w:val="clear" w:color="auto" w:fill="FFFFFF"/>
        <w:spacing w:line="420" w:lineRule="atLeast"/>
        <w:ind w:firstLine="630"/>
        <w:jc w:val="left"/>
        <w:rPr>
          <w:rFonts w:hint="eastAsia" w:ascii="仿宋" w:hAnsi="仿宋" w:eastAsia="仿宋"/>
          <w:kern w:val="0"/>
          <w:sz w:val="32"/>
          <w:szCs w:val="32"/>
          <w:lang w:eastAsia="zh-CN"/>
        </w:rPr>
      </w:pPr>
      <w:r>
        <w:rPr>
          <w:rFonts w:hint="eastAsia" w:ascii="黑体" w:hAnsi="黑体" w:eastAsia="黑体" w:cs="宋体"/>
          <w:kern w:val="0"/>
          <w:sz w:val="32"/>
          <w:szCs w:val="32"/>
        </w:rPr>
        <w:t>第十六条</w:t>
      </w:r>
      <w:r>
        <w:rPr>
          <w:rFonts w:hint="eastAsia" w:ascii="仿宋" w:hAnsi="仿宋" w:eastAsia="仿宋"/>
          <w:kern w:val="0"/>
          <w:sz w:val="32"/>
          <w:szCs w:val="32"/>
        </w:rPr>
        <w:t xml:space="preserve">  享受高龄津贴老年人的法定赡养人、</w:t>
      </w:r>
      <w:r>
        <w:rPr>
          <w:rFonts w:hint="eastAsia" w:ascii="仿宋" w:hAnsi="仿宋" w:eastAsia="仿宋"/>
          <w:kern w:val="0"/>
          <w:sz w:val="32"/>
          <w:szCs w:val="32"/>
          <w:lang w:eastAsia="zh-CN"/>
        </w:rPr>
        <w:t>抚</w:t>
      </w:r>
      <w:r>
        <w:rPr>
          <w:rFonts w:hint="eastAsia" w:ascii="仿宋" w:hAnsi="仿宋" w:eastAsia="仿宋"/>
          <w:kern w:val="0"/>
          <w:sz w:val="32"/>
          <w:szCs w:val="32"/>
        </w:rPr>
        <w:t>养人</w:t>
      </w:r>
      <w:r>
        <w:rPr>
          <w:rFonts w:hint="eastAsia" w:ascii="仿宋" w:hAnsi="仿宋" w:eastAsia="仿宋"/>
          <w:kern w:val="0"/>
          <w:sz w:val="32"/>
          <w:szCs w:val="32"/>
          <w:lang w:val="en" w:eastAsia="zh-CN"/>
        </w:rPr>
        <w:t>应当</w:t>
      </w:r>
      <w:r>
        <w:rPr>
          <w:rFonts w:hint="eastAsia" w:ascii="仿宋" w:hAnsi="仿宋" w:eastAsia="仿宋"/>
          <w:kern w:val="0"/>
          <w:sz w:val="32"/>
          <w:szCs w:val="32"/>
        </w:rPr>
        <w:t>在老年人死亡一个月内主动向其户籍所在村（居）民委员会申请停发津贴</w:t>
      </w:r>
      <w:r>
        <w:rPr>
          <w:rFonts w:hint="eastAsia" w:ascii="仿宋" w:hAnsi="仿宋" w:eastAsia="仿宋"/>
          <w:kern w:val="0"/>
          <w:sz w:val="32"/>
          <w:szCs w:val="32"/>
          <w:lang w:eastAsia="zh-CN"/>
        </w:rPr>
        <w:t>，</w:t>
      </w:r>
      <w:r>
        <w:rPr>
          <w:rFonts w:hint="eastAsia" w:ascii="仿宋" w:hAnsi="仿宋" w:eastAsia="仿宋"/>
          <w:kern w:val="0"/>
          <w:sz w:val="32"/>
          <w:szCs w:val="32"/>
        </w:rPr>
        <w:t>未按时申请停止发放的，</w:t>
      </w:r>
      <w:r>
        <w:rPr>
          <w:rFonts w:hint="eastAsia" w:ascii="仿宋" w:hAnsi="仿宋" w:eastAsia="仿宋"/>
          <w:kern w:val="0"/>
          <w:sz w:val="32"/>
          <w:szCs w:val="32"/>
          <w:lang w:eastAsia="zh-CN"/>
        </w:rPr>
        <w:t>追缴超发津贴。</w:t>
      </w:r>
    </w:p>
    <w:p>
      <w:pPr>
        <w:widowControl/>
        <w:shd w:val="clear" w:color="auto" w:fill="FFFFFF"/>
        <w:spacing w:line="420" w:lineRule="atLeast"/>
        <w:ind w:firstLine="630"/>
        <w:jc w:val="left"/>
        <w:rPr>
          <w:rFonts w:ascii="仿宋" w:hAnsi="仿宋" w:eastAsia="仿宋"/>
          <w:kern w:val="0"/>
          <w:sz w:val="32"/>
          <w:szCs w:val="32"/>
        </w:rPr>
      </w:pPr>
      <w:r>
        <w:rPr>
          <w:rFonts w:hint="eastAsia" w:ascii="黑体" w:hAnsi="黑体" w:eastAsia="黑体" w:cs="宋体"/>
          <w:kern w:val="0"/>
          <w:sz w:val="32"/>
          <w:szCs w:val="32"/>
        </w:rPr>
        <w:t>第十七条</w:t>
      </w:r>
      <w:r>
        <w:rPr>
          <w:rFonts w:hint="eastAsia" w:ascii="仿宋" w:hAnsi="仿宋" w:eastAsia="仿宋"/>
          <w:kern w:val="0"/>
          <w:sz w:val="32"/>
          <w:szCs w:val="32"/>
        </w:rPr>
        <w:t xml:space="preserve">  享受高龄津贴的老年人户籍在本市内跨区迁移的，迁出区从其迁出次月起停止发放高龄津贴，迁入区主动与迁出区对接情况</w:t>
      </w:r>
      <w:r>
        <w:rPr>
          <w:rFonts w:hint="eastAsia" w:ascii="仿宋" w:hAnsi="仿宋" w:eastAsia="仿宋"/>
          <w:kern w:val="0"/>
          <w:sz w:val="32"/>
          <w:szCs w:val="32"/>
          <w:lang w:eastAsia="zh-CN"/>
        </w:rPr>
        <w:t>，确认迁出区停发</w:t>
      </w:r>
      <w:r>
        <w:rPr>
          <w:rFonts w:hint="eastAsia" w:ascii="仿宋" w:hAnsi="仿宋" w:eastAsia="仿宋"/>
          <w:kern w:val="0"/>
          <w:sz w:val="32"/>
          <w:szCs w:val="32"/>
        </w:rPr>
        <w:t>后，</w:t>
      </w:r>
      <w:r>
        <w:rPr>
          <w:rFonts w:hint="eastAsia" w:ascii="仿宋" w:hAnsi="仿宋" w:eastAsia="仿宋"/>
          <w:kern w:val="0"/>
          <w:sz w:val="32"/>
          <w:szCs w:val="32"/>
          <w:lang w:eastAsia="zh-CN"/>
        </w:rPr>
        <w:t>从</w:t>
      </w:r>
      <w:r>
        <w:rPr>
          <w:rFonts w:hint="eastAsia" w:ascii="仿宋" w:hAnsi="仿宋" w:eastAsia="仿宋"/>
          <w:kern w:val="0"/>
          <w:sz w:val="32"/>
          <w:szCs w:val="32"/>
        </w:rPr>
        <w:t>次月起续接发放，并建立个人发放档案。</w:t>
      </w:r>
    </w:p>
    <w:p>
      <w:pPr>
        <w:widowControl/>
        <w:shd w:val="clear" w:color="auto" w:fill="FFFFFF"/>
        <w:spacing w:line="420" w:lineRule="atLeast"/>
        <w:ind w:firstLine="630"/>
        <w:jc w:val="left"/>
        <w:rPr>
          <w:rFonts w:ascii="仿宋" w:hAnsi="仿宋" w:eastAsia="仿宋"/>
          <w:kern w:val="0"/>
          <w:sz w:val="32"/>
          <w:szCs w:val="32"/>
        </w:rPr>
      </w:pPr>
      <w:r>
        <w:rPr>
          <w:rFonts w:hint="eastAsia" w:ascii="黑体" w:hAnsi="黑体" w:eastAsia="黑体" w:cs="宋体"/>
          <w:kern w:val="0"/>
          <w:sz w:val="32"/>
          <w:szCs w:val="32"/>
        </w:rPr>
        <w:t>第十八条</w:t>
      </w:r>
      <w:r>
        <w:rPr>
          <w:rFonts w:hint="eastAsia" w:ascii="仿宋" w:hAnsi="仿宋" w:eastAsia="仿宋"/>
          <w:kern w:val="0"/>
          <w:sz w:val="32"/>
          <w:szCs w:val="32"/>
        </w:rPr>
        <w:t xml:space="preserve">  </w:t>
      </w:r>
      <w:r>
        <w:rPr>
          <w:rFonts w:hint="eastAsia" w:ascii="仿宋" w:hAnsi="仿宋" w:eastAsia="仿宋" w:cs="宋体"/>
          <w:kern w:val="0"/>
          <w:sz w:val="32"/>
          <w:szCs w:val="32"/>
        </w:rPr>
        <w:t>村（居）民委员会</w:t>
      </w:r>
      <w:r>
        <w:rPr>
          <w:rFonts w:hint="eastAsia" w:ascii="仿宋" w:hAnsi="仿宋" w:eastAsia="仿宋"/>
          <w:kern w:val="0"/>
          <w:sz w:val="32"/>
          <w:szCs w:val="32"/>
        </w:rPr>
        <w:t>要随时关注申请人户籍迁移以及死亡情况，及时填写停发登记表报上级审核、复核、备案。</w:t>
      </w:r>
    </w:p>
    <w:p>
      <w:pPr>
        <w:widowControl/>
        <w:shd w:val="clear" w:color="auto" w:fill="FFFFFF"/>
        <w:spacing w:line="420" w:lineRule="atLeast"/>
        <w:ind w:firstLine="630"/>
        <w:jc w:val="left"/>
        <w:rPr>
          <w:rFonts w:ascii="仿宋" w:hAnsi="仿宋" w:eastAsia="仿宋"/>
          <w:kern w:val="0"/>
          <w:sz w:val="32"/>
          <w:szCs w:val="32"/>
        </w:rPr>
      </w:pPr>
      <w:r>
        <w:rPr>
          <w:rFonts w:hint="eastAsia" w:ascii="黑体" w:hAnsi="黑体" w:eastAsia="黑体" w:cs="宋体"/>
          <w:kern w:val="0"/>
          <w:sz w:val="32"/>
          <w:szCs w:val="32"/>
        </w:rPr>
        <w:t>第十九条</w:t>
      </w:r>
      <w:r>
        <w:rPr>
          <w:rFonts w:hint="eastAsia" w:ascii="仿宋" w:hAnsi="仿宋" w:eastAsia="仿宋"/>
          <w:kern w:val="0"/>
          <w:sz w:val="32"/>
          <w:szCs w:val="32"/>
        </w:rPr>
        <w:t xml:space="preserve">  各级卫</w:t>
      </w:r>
      <w:r>
        <w:rPr>
          <w:rFonts w:hint="eastAsia" w:ascii="仿宋" w:hAnsi="仿宋" w:eastAsia="仿宋"/>
          <w:kern w:val="0"/>
          <w:sz w:val="32"/>
          <w:szCs w:val="32"/>
          <w:lang w:eastAsia="zh-CN"/>
        </w:rPr>
        <w:t>生</w:t>
      </w:r>
      <w:r>
        <w:rPr>
          <w:rFonts w:hint="eastAsia" w:ascii="仿宋" w:hAnsi="仿宋" w:eastAsia="仿宋"/>
          <w:kern w:val="0"/>
          <w:sz w:val="32"/>
          <w:szCs w:val="32"/>
        </w:rPr>
        <w:t>健</w:t>
      </w:r>
      <w:r>
        <w:rPr>
          <w:rFonts w:hint="eastAsia" w:ascii="仿宋" w:hAnsi="仿宋" w:eastAsia="仿宋"/>
          <w:kern w:val="0"/>
          <w:sz w:val="32"/>
          <w:szCs w:val="32"/>
          <w:lang w:eastAsia="zh-CN"/>
        </w:rPr>
        <w:t>康</w:t>
      </w:r>
      <w:r>
        <w:rPr>
          <w:rFonts w:hint="eastAsia" w:ascii="仿宋" w:hAnsi="仿宋" w:eastAsia="仿宋"/>
          <w:kern w:val="0"/>
          <w:sz w:val="32"/>
          <w:szCs w:val="32"/>
        </w:rPr>
        <w:t>、公安、民政</w:t>
      </w:r>
      <w:r>
        <w:rPr>
          <w:rFonts w:hint="eastAsia" w:ascii="仿宋" w:hAnsi="仿宋" w:eastAsia="仿宋"/>
          <w:kern w:val="0"/>
          <w:sz w:val="32"/>
          <w:szCs w:val="32"/>
          <w:lang w:eastAsia="zh-CN"/>
        </w:rPr>
        <w:t>、</w:t>
      </w:r>
      <w:r>
        <w:rPr>
          <w:rFonts w:hint="eastAsia" w:ascii="仿宋" w:hAnsi="仿宋" w:eastAsia="仿宋"/>
          <w:kern w:val="0"/>
          <w:sz w:val="32"/>
          <w:szCs w:val="32"/>
        </w:rPr>
        <w:t>人</w:t>
      </w:r>
      <w:r>
        <w:rPr>
          <w:rFonts w:hint="eastAsia" w:ascii="仿宋" w:hAnsi="仿宋" w:eastAsia="仿宋"/>
          <w:kern w:val="0"/>
          <w:sz w:val="32"/>
          <w:szCs w:val="32"/>
          <w:lang w:eastAsia="zh-CN"/>
        </w:rPr>
        <w:t>力资源社会保障</w:t>
      </w:r>
      <w:r>
        <w:rPr>
          <w:rFonts w:hint="eastAsia" w:ascii="仿宋" w:hAnsi="仿宋" w:eastAsia="仿宋"/>
          <w:kern w:val="0"/>
          <w:sz w:val="32"/>
          <w:szCs w:val="32"/>
        </w:rPr>
        <w:t>、</w:t>
      </w:r>
      <w:r>
        <w:rPr>
          <w:rFonts w:hint="eastAsia" w:ascii="仿宋" w:hAnsi="仿宋" w:eastAsia="仿宋"/>
          <w:color w:val="000000" w:themeColor="text1"/>
          <w:kern w:val="0"/>
          <w:sz w:val="32"/>
          <w:szCs w:val="32"/>
          <w:u w:val="none"/>
          <w:lang w:eastAsia="zh-CN"/>
          <w14:textFill>
            <w14:solidFill>
              <w14:schemeClr w14:val="tx1"/>
            </w14:solidFill>
          </w14:textFill>
        </w:rPr>
        <w:t>大数据</w:t>
      </w:r>
      <w:r>
        <w:rPr>
          <w:rFonts w:hint="eastAsia" w:ascii="仿宋" w:hAnsi="仿宋" w:eastAsia="仿宋"/>
          <w:kern w:val="0"/>
          <w:sz w:val="32"/>
          <w:szCs w:val="32"/>
        </w:rPr>
        <w:t>等相关部门要加强沟通，资源共享，充分利用大数据等相关技术进行审核认证，发现不符合发放条件的要及时办理停发手续。</w:t>
      </w:r>
    </w:p>
    <w:p>
      <w:pPr>
        <w:pStyle w:val="4"/>
        <w:shd w:val="clear" w:color="auto" w:fill="FFFFFF"/>
        <w:spacing w:before="159" w:beforeLines="50" w:beforeAutospacing="0" w:after="159" w:afterLines="50" w:afterAutospacing="0" w:line="390" w:lineRule="atLeast"/>
        <w:jc w:val="center"/>
        <w:rPr>
          <w:rFonts w:ascii="黑体" w:hAnsi="黑体" w:eastAsia="黑体"/>
          <w:color w:val="000000"/>
          <w:sz w:val="32"/>
          <w:szCs w:val="32"/>
        </w:rPr>
      </w:pPr>
      <w:r>
        <w:rPr>
          <w:rFonts w:hint="eastAsia" w:ascii="黑体" w:hAnsi="黑体" w:eastAsia="黑体"/>
          <w:color w:val="000000"/>
          <w:sz w:val="32"/>
          <w:szCs w:val="32"/>
        </w:rPr>
        <w:t>第五章  管理与监督</w:t>
      </w:r>
    </w:p>
    <w:p>
      <w:pPr>
        <w:pStyle w:val="4"/>
        <w:shd w:val="clear" w:color="auto" w:fill="FFFFFF"/>
        <w:spacing w:before="0" w:beforeAutospacing="0" w:after="0" w:afterAutospacing="0" w:line="390" w:lineRule="atLeast"/>
        <w:ind w:firstLine="640" w:firstLineChars="200"/>
        <w:rPr>
          <w:rFonts w:ascii="仿宋" w:hAnsi="仿宋" w:eastAsia="仿宋"/>
          <w:color w:val="000000"/>
          <w:sz w:val="32"/>
          <w:szCs w:val="32"/>
        </w:rPr>
      </w:pPr>
      <w:r>
        <w:rPr>
          <w:rFonts w:hint="eastAsia" w:ascii="黑体" w:hAnsi="黑体" w:eastAsia="黑体"/>
          <w:color w:val="000000"/>
          <w:sz w:val="32"/>
          <w:szCs w:val="32"/>
        </w:rPr>
        <w:t>第二十条</w:t>
      </w:r>
      <w:r>
        <w:rPr>
          <w:rFonts w:hint="eastAsia" w:ascii="仿宋" w:hAnsi="仿宋" w:eastAsia="仿宋"/>
          <w:color w:val="000000"/>
          <w:sz w:val="32"/>
          <w:szCs w:val="32"/>
        </w:rPr>
        <w:t>　各级各部门要严格按程序做好老年人高龄津贴发放管理工作,并建立健全动态管理、档案管理等制度。</w:t>
      </w:r>
    </w:p>
    <w:p>
      <w:pPr>
        <w:widowControl/>
        <w:shd w:val="clear" w:color="auto" w:fill="FFFFFF"/>
        <w:spacing w:line="420" w:lineRule="atLeast"/>
        <w:ind w:firstLine="630"/>
        <w:jc w:val="left"/>
        <w:rPr>
          <w:rFonts w:ascii="仿宋" w:hAnsi="仿宋" w:eastAsia="仿宋" w:cs="宋体"/>
          <w:kern w:val="0"/>
          <w:sz w:val="32"/>
          <w:szCs w:val="32"/>
        </w:rPr>
      </w:pPr>
      <w:r>
        <w:rPr>
          <w:rFonts w:hint="eastAsia" w:ascii="黑体" w:hAnsi="黑体" w:eastAsia="黑体" w:cs="宋体"/>
          <w:color w:val="000000"/>
          <w:kern w:val="0"/>
          <w:sz w:val="32"/>
          <w:szCs w:val="32"/>
        </w:rPr>
        <w:t>第二十一条</w:t>
      </w:r>
      <w:r>
        <w:rPr>
          <w:rFonts w:hint="eastAsia" w:ascii="仿宋" w:hAnsi="仿宋" w:eastAsia="仿宋" w:cs="宋体"/>
          <w:color w:val="000000"/>
          <w:kern w:val="0"/>
          <w:sz w:val="32"/>
          <w:szCs w:val="32"/>
        </w:rPr>
        <w:t xml:space="preserve">  </w:t>
      </w:r>
      <w:r>
        <w:rPr>
          <w:rFonts w:hint="eastAsia" w:ascii="仿宋" w:hAnsi="仿宋" w:eastAsia="仿宋"/>
          <w:kern w:val="0"/>
          <w:sz w:val="32"/>
          <w:szCs w:val="32"/>
        </w:rPr>
        <w:t>街</w:t>
      </w:r>
      <w:r>
        <w:rPr>
          <w:rFonts w:hint="eastAsia" w:ascii="仿宋" w:hAnsi="仿宋" w:eastAsia="仿宋"/>
          <w:kern w:val="0"/>
          <w:sz w:val="32"/>
          <w:szCs w:val="32"/>
          <w:lang w:eastAsia="zh-CN"/>
        </w:rPr>
        <w:t>道（</w:t>
      </w:r>
      <w:r>
        <w:rPr>
          <w:rFonts w:hint="eastAsia" w:ascii="仿宋" w:hAnsi="仿宋" w:eastAsia="仿宋"/>
          <w:kern w:val="0"/>
          <w:sz w:val="32"/>
          <w:szCs w:val="32"/>
        </w:rPr>
        <w:t>镇</w:t>
      </w:r>
      <w:r>
        <w:rPr>
          <w:rFonts w:hint="eastAsia" w:ascii="仿宋" w:hAnsi="仿宋" w:eastAsia="仿宋"/>
          <w:kern w:val="0"/>
          <w:sz w:val="32"/>
          <w:szCs w:val="32"/>
          <w:lang w:eastAsia="zh-CN"/>
        </w:rPr>
        <w:t>）</w:t>
      </w:r>
      <w:r>
        <w:rPr>
          <w:rFonts w:hint="eastAsia" w:ascii="仿宋" w:hAnsi="仿宋" w:eastAsia="仿宋"/>
          <w:kern w:val="0"/>
          <w:sz w:val="32"/>
          <w:szCs w:val="32"/>
        </w:rPr>
        <w:t>要于每季度末月15日前向区县卫生健康局报送当季度高龄津贴资金审批表，并附发放明细（电子版），据此申请高龄津贴资金。各区县卫生健康局应当于每季度发放结束后向市卫</w:t>
      </w:r>
      <w:r>
        <w:rPr>
          <w:rFonts w:hint="eastAsia" w:ascii="仿宋" w:hAnsi="仿宋" w:eastAsia="仿宋"/>
          <w:kern w:val="0"/>
          <w:sz w:val="32"/>
          <w:szCs w:val="32"/>
          <w:lang w:eastAsia="zh-CN"/>
        </w:rPr>
        <w:t>生</w:t>
      </w:r>
      <w:r>
        <w:rPr>
          <w:rFonts w:hint="eastAsia" w:ascii="仿宋" w:hAnsi="仿宋" w:eastAsia="仿宋"/>
          <w:kern w:val="0"/>
          <w:sz w:val="32"/>
          <w:szCs w:val="32"/>
        </w:rPr>
        <w:t>健</w:t>
      </w:r>
      <w:r>
        <w:rPr>
          <w:rFonts w:hint="eastAsia" w:ascii="仿宋" w:hAnsi="仿宋" w:eastAsia="仿宋"/>
          <w:kern w:val="0"/>
          <w:sz w:val="32"/>
          <w:szCs w:val="32"/>
          <w:lang w:eastAsia="zh-CN"/>
        </w:rPr>
        <w:t>康</w:t>
      </w:r>
      <w:r>
        <w:rPr>
          <w:rFonts w:hint="eastAsia" w:ascii="仿宋" w:hAnsi="仿宋" w:eastAsia="仿宋"/>
          <w:kern w:val="0"/>
          <w:sz w:val="32"/>
          <w:szCs w:val="32"/>
        </w:rPr>
        <w:t>委报送上一季度高龄津贴发放汇总表。</w:t>
      </w:r>
    </w:p>
    <w:p>
      <w:pPr>
        <w:pStyle w:val="4"/>
        <w:shd w:val="clear" w:color="auto" w:fill="FFFFFF"/>
        <w:spacing w:before="0" w:beforeAutospacing="0" w:after="0" w:afterAutospacing="0" w:line="390" w:lineRule="atLeast"/>
        <w:ind w:firstLine="630"/>
        <w:rPr>
          <w:rFonts w:ascii="仿宋" w:hAnsi="仿宋" w:eastAsia="仿宋"/>
          <w:color w:val="000000"/>
          <w:sz w:val="32"/>
          <w:szCs w:val="32"/>
        </w:rPr>
      </w:pPr>
      <w:r>
        <w:rPr>
          <w:rFonts w:hint="eastAsia" w:ascii="黑体" w:hAnsi="黑体" w:eastAsia="黑体"/>
          <w:color w:val="000000"/>
          <w:sz w:val="32"/>
          <w:szCs w:val="32"/>
        </w:rPr>
        <w:t>第二十二条</w:t>
      </w:r>
      <w:r>
        <w:rPr>
          <w:rFonts w:hint="eastAsia" w:ascii="仿宋" w:hAnsi="仿宋" w:eastAsia="仿宋"/>
          <w:color w:val="000000"/>
          <w:sz w:val="32"/>
          <w:szCs w:val="32"/>
        </w:rPr>
        <w:t xml:space="preserve">  市、区</w:t>
      </w:r>
      <w:r>
        <w:rPr>
          <w:rFonts w:hint="eastAsia" w:ascii="仿宋" w:hAnsi="仿宋" w:eastAsia="仿宋"/>
          <w:color w:val="000000"/>
          <w:sz w:val="32"/>
          <w:szCs w:val="32"/>
          <w:lang w:eastAsia="zh-CN"/>
        </w:rPr>
        <w:t>县</w:t>
      </w:r>
      <w:r>
        <w:rPr>
          <w:rFonts w:hint="eastAsia" w:ascii="仿宋" w:hAnsi="仿宋" w:eastAsia="仿宋"/>
          <w:color w:val="000000"/>
          <w:sz w:val="32"/>
          <w:szCs w:val="32"/>
        </w:rPr>
        <w:t>卫生健康部门应当对高龄津贴发放工作进行监督检查，每年至少进行一次，适时通报工作情况和检查结果，对在检查中查实的虚报、冒领</w:t>
      </w:r>
      <w:r>
        <w:rPr>
          <w:rFonts w:hint="eastAsia" w:ascii="仿宋" w:hAnsi="仿宋" w:eastAsia="仿宋"/>
          <w:color w:val="000000"/>
          <w:sz w:val="32"/>
          <w:szCs w:val="32"/>
          <w:lang w:eastAsia="zh-CN"/>
        </w:rPr>
        <w:t>、</w:t>
      </w:r>
      <w:r>
        <w:rPr>
          <w:rFonts w:hint="eastAsia" w:ascii="仿宋" w:hAnsi="仿宋" w:eastAsia="仿宋"/>
          <w:color w:val="000000"/>
          <w:sz w:val="32"/>
          <w:szCs w:val="32"/>
        </w:rPr>
        <w:t>截留、挪用和失职渎职行为，</w:t>
      </w:r>
      <w:r>
        <w:rPr>
          <w:rFonts w:hint="eastAsia" w:ascii="仿宋" w:hAnsi="仿宋" w:eastAsia="仿宋"/>
          <w:color w:val="000000"/>
          <w:sz w:val="32"/>
          <w:szCs w:val="32"/>
          <w:lang w:eastAsia="zh-CN"/>
        </w:rPr>
        <w:t>就及时指出并立即整改。问题严重、涉及违纪违法的，由监察和司法机关</w:t>
      </w:r>
      <w:r>
        <w:rPr>
          <w:rFonts w:hint="eastAsia" w:ascii="仿宋" w:hAnsi="仿宋" w:eastAsia="仿宋"/>
          <w:color w:val="000000"/>
          <w:sz w:val="32"/>
          <w:szCs w:val="32"/>
        </w:rPr>
        <w:t>依规依法处理。</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第二十三条</w:t>
      </w:r>
      <w:r>
        <w:rPr>
          <w:rFonts w:hint="eastAsia" w:ascii="仿宋" w:hAnsi="仿宋" w:eastAsia="仿宋" w:cs="宋体"/>
          <w:color w:val="000000"/>
          <w:kern w:val="0"/>
          <w:sz w:val="32"/>
          <w:szCs w:val="32"/>
        </w:rPr>
        <w:t>　老年人高龄津贴要专户管理、专款专用。财政、审计、监察等部门对发放使用情况依法进行审计和监督。</w:t>
      </w:r>
    </w:p>
    <w:p>
      <w:pPr>
        <w:widowControl/>
        <w:shd w:val="clear" w:color="auto" w:fill="FFFFFF"/>
        <w:spacing w:line="420" w:lineRule="atLeast"/>
        <w:ind w:firstLine="63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第二十四条</w:t>
      </w:r>
      <w:r>
        <w:rPr>
          <w:rFonts w:hint="eastAsia" w:ascii="仿宋" w:hAnsi="仿宋" w:eastAsia="仿宋" w:cs="宋体"/>
          <w:color w:val="000000"/>
          <w:kern w:val="0"/>
          <w:sz w:val="32"/>
          <w:szCs w:val="32"/>
        </w:rPr>
        <w:t>　对违反本细则规定,采取虚报、瞒报、伪造等手段,骗取老年人高龄津贴的,除全额追回所发津贴外,将视情节轻重对当事人进行批评教育并追究有关人员的责任。</w:t>
      </w:r>
    </w:p>
    <w:p>
      <w:pPr>
        <w:pStyle w:val="4"/>
        <w:shd w:val="clear" w:color="auto" w:fill="FFFFFF"/>
        <w:spacing w:before="0" w:beforeAutospacing="0" w:after="0" w:afterAutospacing="0" w:line="390" w:lineRule="atLeast"/>
        <w:ind w:firstLine="630"/>
        <w:rPr>
          <w:rFonts w:ascii="仿宋" w:hAnsi="仿宋" w:eastAsia="仿宋"/>
          <w:sz w:val="32"/>
          <w:szCs w:val="32"/>
          <w:u w:val="none"/>
        </w:rPr>
      </w:pPr>
      <w:r>
        <w:rPr>
          <w:rFonts w:hint="eastAsia" w:ascii="黑体" w:hAnsi="黑体" w:eastAsia="黑体"/>
          <w:color w:val="000000"/>
          <w:sz w:val="32"/>
          <w:szCs w:val="32"/>
        </w:rPr>
        <w:t>第二十五条</w:t>
      </w:r>
      <w:r>
        <w:rPr>
          <w:rFonts w:hint="eastAsia" w:ascii="仿宋" w:hAnsi="仿宋" w:eastAsia="仿宋"/>
          <w:color w:val="000000"/>
          <w:sz w:val="32"/>
          <w:szCs w:val="32"/>
        </w:rPr>
        <w:t xml:space="preserve">  </w:t>
      </w:r>
      <w:r>
        <w:rPr>
          <w:rFonts w:hint="eastAsia" w:ascii="仿宋" w:hAnsi="仿宋" w:eastAsia="仿宋"/>
          <w:sz w:val="32"/>
          <w:szCs w:val="32"/>
        </w:rPr>
        <w:t>对于</w:t>
      </w:r>
      <w:r>
        <w:rPr>
          <w:rFonts w:hint="eastAsia" w:ascii="仿宋" w:hAnsi="仿宋" w:eastAsia="仿宋"/>
          <w:sz w:val="32"/>
          <w:szCs w:val="32"/>
          <w:lang w:eastAsia="zh-CN"/>
        </w:rPr>
        <w:t>违规发放</w:t>
      </w:r>
      <w:r>
        <w:rPr>
          <w:rFonts w:hint="eastAsia" w:ascii="仿宋" w:hAnsi="仿宋" w:eastAsia="仿宋"/>
          <w:sz w:val="32"/>
          <w:szCs w:val="32"/>
        </w:rPr>
        <w:t>的高龄津贴，由街</w:t>
      </w:r>
      <w:r>
        <w:rPr>
          <w:rFonts w:hint="eastAsia" w:ascii="仿宋" w:hAnsi="仿宋" w:eastAsia="仿宋"/>
          <w:sz w:val="32"/>
          <w:szCs w:val="32"/>
          <w:lang w:eastAsia="zh-CN"/>
        </w:rPr>
        <w:t>道（</w:t>
      </w:r>
      <w:r>
        <w:rPr>
          <w:rFonts w:hint="eastAsia" w:ascii="仿宋" w:hAnsi="仿宋" w:eastAsia="仿宋"/>
          <w:sz w:val="32"/>
          <w:szCs w:val="32"/>
        </w:rPr>
        <w:t>镇</w:t>
      </w:r>
      <w:r>
        <w:rPr>
          <w:rFonts w:hint="eastAsia" w:ascii="仿宋" w:hAnsi="仿宋" w:eastAsia="仿宋"/>
          <w:sz w:val="32"/>
          <w:szCs w:val="32"/>
          <w:lang w:eastAsia="zh-CN"/>
        </w:rPr>
        <w:t>）</w:t>
      </w:r>
      <w:r>
        <w:rPr>
          <w:rFonts w:hint="eastAsia" w:ascii="仿宋" w:hAnsi="仿宋" w:eastAsia="仿宋"/>
          <w:sz w:val="32"/>
          <w:szCs w:val="32"/>
        </w:rPr>
        <w:t>在60日内追缴完毕，</w:t>
      </w:r>
      <w:r>
        <w:rPr>
          <w:rFonts w:hint="eastAsia" w:ascii="仿宋" w:hAnsi="仿宋" w:eastAsia="仿宋"/>
          <w:sz w:val="32"/>
          <w:szCs w:val="32"/>
          <w:u w:val="none"/>
          <w:lang w:eastAsia="zh-CN"/>
        </w:rPr>
        <w:t>归入</w:t>
      </w:r>
      <w:r>
        <w:rPr>
          <w:rFonts w:hint="eastAsia" w:ascii="仿宋" w:hAnsi="仿宋" w:eastAsia="仿宋"/>
          <w:sz w:val="32"/>
          <w:szCs w:val="32"/>
          <w:u w:val="none"/>
        </w:rPr>
        <w:t>以后高龄津贴发放</w:t>
      </w:r>
      <w:r>
        <w:rPr>
          <w:rFonts w:hint="eastAsia" w:ascii="仿宋" w:hAnsi="仿宋" w:eastAsia="仿宋"/>
          <w:sz w:val="32"/>
          <w:szCs w:val="32"/>
          <w:u w:val="none"/>
          <w:lang w:eastAsia="zh-CN"/>
        </w:rPr>
        <w:t>款项</w:t>
      </w:r>
      <w:r>
        <w:rPr>
          <w:rFonts w:hint="eastAsia" w:ascii="仿宋" w:hAnsi="仿宋" w:eastAsia="仿宋"/>
          <w:sz w:val="32"/>
          <w:szCs w:val="32"/>
          <w:u w:val="none"/>
        </w:rPr>
        <w:t>。</w:t>
      </w:r>
    </w:p>
    <w:p>
      <w:pPr>
        <w:widowControl/>
        <w:shd w:val="clear" w:color="auto" w:fill="FFFFFF"/>
        <w:spacing w:line="420" w:lineRule="atLeast"/>
        <w:ind w:firstLine="640" w:firstLineChars="20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第二十六条</w:t>
      </w:r>
      <w:r>
        <w:rPr>
          <w:rFonts w:hint="eastAsia" w:ascii="仿宋" w:hAnsi="仿宋" w:eastAsia="仿宋" w:cs="宋体"/>
          <w:color w:val="000000"/>
          <w:kern w:val="0"/>
          <w:sz w:val="32"/>
          <w:szCs w:val="32"/>
        </w:rPr>
        <w:t>　申请人对不予享受或者停发老年人高龄津贴决定不服的,可以依法申请行政复议;对复议决定不服的,可以依法提起行政诉讼。</w:t>
      </w:r>
    </w:p>
    <w:p>
      <w:pPr>
        <w:widowControl/>
        <w:shd w:val="clear" w:color="auto" w:fill="FFFFFF"/>
        <w:spacing w:line="420" w:lineRule="atLeast"/>
        <w:ind w:firstLine="640" w:firstLineChars="20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第二十七条</w:t>
      </w:r>
      <w:r>
        <w:rPr>
          <w:rFonts w:hint="eastAsia" w:ascii="仿宋" w:hAnsi="仿宋" w:eastAsia="仿宋" w:cs="宋体"/>
          <w:color w:val="000000"/>
          <w:kern w:val="0"/>
          <w:sz w:val="32"/>
          <w:szCs w:val="32"/>
        </w:rPr>
        <w:t xml:space="preserve">  各级各部门应通过新闻媒体及印发宣传手册、明白纸等手段，向社会宣传高龄津贴发放规定及办理流程；并畅通社会监督渠道，及时处理举报和信访投诉。</w:t>
      </w:r>
    </w:p>
    <w:p>
      <w:pPr>
        <w:widowControl/>
        <w:shd w:val="clear" w:color="auto" w:fill="FFFFFF"/>
        <w:spacing w:line="420" w:lineRule="atLeast"/>
        <w:ind w:firstLine="640" w:firstLineChars="20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第二十八条</w:t>
      </w:r>
      <w:r>
        <w:rPr>
          <w:rFonts w:hint="eastAsia" w:ascii="仿宋" w:hAnsi="仿宋" w:eastAsia="仿宋" w:cs="宋体"/>
          <w:color w:val="000000"/>
          <w:kern w:val="0"/>
          <w:sz w:val="32"/>
          <w:szCs w:val="32"/>
        </w:rPr>
        <w:t xml:space="preserve">  加强档案管理，所有与高龄津贴相关的申请、审批、说明等纸质材料要加盖公章后归档保存；加强数据安全管理，高龄津贴发放的电子数据要严格遵守《个人信息保护法》和《数据安全法》等法律法规要求，安全妥善保存。</w:t>
      </w:r>
    </w:p>
    <w:p>
      <w:pPr>
        <w:widowControl/>
        <w:shd w:val="clear" w:color="auto" w:fill="FFFFFF"/>
        <w:spacing w:before="159" w:beforeLines="50" w:after="159" w:afterLines="50" w:line="420"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第六章　附　则</w:t>
      </w:r>
    </w:p>
    <w:p>
      <w:pPr>
        <w:widowControl/>
        <w:shd w:val="clear" w:color="auto" w:fill="FFFFFF"/>
        <w:spacing w:line="420" w:lineRule="atLeast"/>
        <w:ind w:firstLine="640" w:firstLineChars="20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第二十九条</w:t>
      </w:r>
      <w:r>
        <w:rPr>
          <w:rFonts w:hint="eastAsia" w:ascii="仿宋" w:hAnsi="仿宋" w:eastAsia="仿宋" w:cs="宋体"/>
          <w:color w:val="000000"/>
          <w:kern w:val="0"/>
          <w:sz w:val="32"/>
          <w:szCs w:val="32"/>
        </w:rPr>
        <w:t xml:space="preserve">  本细则自</w:t>
      </w:r>
      <w:r>
        <w:rPr>
          <w:rFonts w:hint="eastAsia" w:ascii="仿宋" w:hAnsi="仿宋" w:eastAsia="仿宋" w:cs="宋体"/>
          <w:color w:val="000000"/>
          <w:kern w:val="0"/>
          <w:sz w:val="32"/>
          <w:szCs w:val="32"/>
          <w:lang w:eastAsia="zh-CN"/>
        </w:rPr>
        <w:t>印发之日</w:t>
      </w:r>
      <w:r>
        <w:rPr>
          <w:rFonts w:hint="eastAsia" w:ascii="仿宋" w:hAnsi="仿宋" w:eastAsia="仿宋" w:cs="宋体"/>
          <w:color w:val="000000"/>
          <w:kern w:val="0"/>
          <w:sz w:val="32"/>
          <w:szCs w:val="32"/>
        </w:rPr>
        <w:t>起施行</w:t>
      </w:r>
      <w:r>
        <w:rPr>
          <w:rFonts w:hint="eastAsia" w:ascii="仿宋" w:hAnsi="仿宋" w:eastAsia="仿宋" w:cs="宋体"/>
          <w:color w:val="000000"/>
          <w:kern w:val="0"/>
          <w:sz w:val="32"/>
          <w:szCs w:val="32"/>
          <w:lang w:eastAsia="zh-CN"/>
        </w:rPr>
        <w:t>，有效期到</w:t>
      </w:r>
      <w:r>
        <w:rPr>
          <w:rFonts w:hint="eastAsia" w:ascii="仿宋" w:hAnsi="仿宋" w:eastAsia="仿宋" w:cs="宋体"/>
          <w:color w:val="000000"/>
          <w:kern w:val="0"/>
          <w:sz w:val="32"/>
          <w:szCs w:val="32"/>
          <w:lang w:val="en-US" w:eastAsia="zh-CN"/>
        </w:rPr>
        <w:t>5年</w:t>
      </w:r>
      <w:r>
        <w:rPr>
          <w:rFonts w:hint="eastAsia" w:ascii="仿宋" w:hAnsi="仿宋" w:eastAsia="仿宋" w:cs="宋体"/>
          <w:color w:val="000000"/>
          <w:kern w:val="0"/>
          <w:sz w:val="32"/>
          <w:szCs w:val="32"/>
        </w:rPr>
        <w:t>。</w:t>
      </w:r>
    </w:p>
    <w:p>
      <w:pPr>
        <w:widowControl/>
        <w:shd w:val="clear" w:color="auto" w:fill="FFFFFF"/>
        <w:spacing w:line="420" w:lineRule="atLeast"/>
        <w:ind w:firstLine="640" w:firstLineChars="200"/>
        <w:jc w:val="left"/>
        <w:rPr>
          <w:rFonts w:ascii="仿宋" w:hAnsi="仿宋" w:eastAsia="仿宋" w:cs="宋体"/>
          <w:color w:val="000000"/>
          <w:kern w:val="0"/>
          <w:sz w:val="32"/>
          <w:szCs w:val="32"/>
        </w:rPr>
      </w:pPr>
      <w:r>
        <w:rPr>
          <w:rFonts w:hint="eastAsia" w:ascii="黑体" w:hAnsi="黑体" w:eastAsia="黑体" w:cs="宋体"/>
          <w:color w:val="000000"/>
          <w:kern w:val="0"/>
          <w:sz w:val="32"/>
          <w:szCs w:val="32"/>
        </w:rPr>
        <w:t>第三十条</w:t>
      </w:r>
      <w:r>
        <w:rPr>
          <w:rFonts w:hint="eastAsia" w:ascii="仿宋" w:hAnsi="仿宋" w:eastAsia="仿宋" w:cs="宋体"/>
          <w:color w:val="000000"/>
          <w:kern w:val="0"/>
          <w:sz w:val="32"/>
          <w:szCs w:val="32"/>
        </w:rPr>
        <w:t xml:space="preserve">  本细则由市卫生健康委负责解释。</w:t>
      </w:r>
    </w:p>
    <w:p>
      <w:pPr>
        <w:ind w:firstLine="640" w:firstLineChars="200"/>
        <w:rPr>
          <w:rFonts w:ascii="仿宋" w:hAnsi="仿宋" w:eastAsia="仿宋"/>
          <w:color w:val="000000" w:themeColor="text1"/>
          <w:sz w:val="32"/>
          <w:szCs w:val="32"/>
          <w14:textFill>
            <w14:solidFill>
              <w14:schemeClr w14:val="tx1"/>
            </w14:solidFill>
          </w14:textFill>
        </w:rPr>
      </w:pPr>
    </w:p>
    <w:sectPr>
      <w:pgSz w:w="11906" w:h="16838"/>
      <w:pgMar w:top="1440" w:right="1463" w:bottom="127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3C"/>
    <w:rsid w:val="000162CF"/>
    <w:rsid w:val="004D453C"/>
    <w:rsid w:val="00525C33"/>
    <w:rsid w:val="00625449"/>
    <w:rsid w:val="008E68A9"/>
    <w:rsid w:val="00916F65"/>
    <w:rsid w:val="00920ED9"/>
    <w:rsid w:val="00B6258F"/>
    <w:rsid w:val="00C00DF4"/>
    <w:rsid w:val="00CC07F8"/>
    <w:rsid w:val="00DF02B9"/>
    <w:rsid w:val="3BDF8905"/>
    <w:rsid w:val="3FC2D71F"/>
    <w:rsid w:val="5A3BDC2A"/>
    <w:rsid w:val="661B4963"/>
    <w:rsid w:val="7D447111"/>
    <w:rsid w:val="DB7A9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488</Characters>
  <Lines>4</Lines>
  <Paragraphs>1</Paragraphs>
  <TotalTime>3</TotalTime>
  <ScaleCrop>false</ScaleCrop>
  <LinksUpToDate>false</LinksUpToDate>
  <CharactersWithSpaces>572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2022-01-01T11:38:00Z</dcterms:created>
  <dc:creator>work</dc:creator>
  <cp:lastModifiedBy>weizaihu</cp:lastModifiedBy>
  <cp:lastPrinted>2022-01-24T23:46:00Z</cp:lastPrinted>
  <dcterms:modified xsi:type="dcterms:W3CDTF">2022-01-24T08:19:22Z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93B7C53D9E10461BB255F0B3040C6AA1</vt:lpwstr>
  </property>
</Properties>
</file>